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ind w:left="-724"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Mapa Interactivo de los Informes en Tiempo Real del Total de Trámites, Quejas, Asesorías, Solicitudes de Amnistía y Opiniones Consultivas, Medidas Reparatorias y Diagnóstico Integral de Justicia Cívica.</w:t>
            </w:r>
            <w:r w:rsidDel="00000000" w:rsidR="00000000" w:rsidRPr="00000000">
              <w:rPr>
                <w:rtl w:val="0"/>
              </w:rPr>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Sujeto Obligado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ind w:left="-724"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Comisión de Derechos Humanos del Estado de México</w:t>
            </w: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Tipo de Sujeto Obligado </w:t>
            </w:r>
            <w:r w:rsidDel="00000000" w:rsidR="00000000" w:rsidRPr="00000000">
              <w:rPr>
                <w:rFonts w:ascii="Palatino Linotype" w:cs="Palatino Linotype" w:eastAsia="Palatino Linotype" w:hAnsi="Palatino Linotype"/>
                <w:i w:val="1"/>
                <w:rtl w:val="0"/>
              </w:rPr>
              <w:t xml:space="preserve">(Poder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ind w:left="-724"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Organismo Autónomo</w:t>
            </w:r>
            <w:r w:rsidDel="00000000" w:rsidR="00000000" w:rsidRPr="00000000">
              <w:rPr>
                <w:rtl w:val="0"/>
              </w:rPr>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ind w:left="-724"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Dirección de Tecnologías de la Información y Comunicación; y la Unidad de Información, Planeación, Programación y Evaluación</w:t>
            </w:r>
            <w:r w:rsidDel="00000000" w:rsidR="00000000" w:rsidRPr="00000000">
              <w:rPr>
                <w:rtl w:val="0"/>
              </w:rPr>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Titular de la Unidad de Transparencia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left="-724"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L.A.E. Erika Y. Funes Velázquez</w:t>
            </w: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ind w:left="-44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2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1">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CARACTERÍSTICAS DE LA PRÁCTICA DE TRANSPARENCIA PROACTIVA: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5"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Señale el año en que surgió y si se encuentra vigente: </w:t>
      </w:r>
    </w:p>
    <w:p w:rsidR="00000000" w:rsidDel="00000000" w:rsidP="00000000" w:rsidRDefault="00000000" w:rsidRPr="00000000" w14:paraId="00000023">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Surge en el año 2023, año en el cual se participó y se consiguió el reconocimiento, encontrándose vigente, actualizada y renovada, misma que se puede visualizar en la página web de esta Casa de la Dignidad y las Libertades, siendo el siguiente enlace </w:t>
      </w:r>
      <w:hyperlink r:id="rId7">
        <w:r w:rsidDel="00000000" w:rsidR="00000000" w:rsidRPr="00000000">
          <w:rPr>
            <w:rFonts w:ascii="Palatino Linotype" w:cs="Palatino Linotype" w:eastAsia="Palatino Linotype" w:hAnsi="Palatino Linotype"/>
            <w:color w:val="0563c1"/>
            <w:u w:val="single"/>
            <w:rtl w:val="0"/>
          </w:rPr>
          <w:t xml:space="preserve">https://www.codhem.org.mx/transparencia-proactiva/</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5"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Explique el objetivo de dicha práctica: </w:t>
      </w:r>
    </w:p>
    <w:p w:rsidR="00000000" w:rsidDel="00000000" w:rsidP="00000000" w:rsidRDefault="00000000" w:rsidRPr="00000000" w14:paraId="00000025">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de promover el ejercicio de las buenas prácticas de transparencia proactiva y con ello fortalecer la rendición de cuentas, el objetivo principal es poner a disposición de la ciudadanía información útil, confiable, relevante, veraz y dinámica en tiempo real sobre el total de Trámites, Quejas, Asesorías, Solicitudes de Amnistía y Opiniones Consultivas, Medidas Reparatorias y Diagnóstico Integral de Justicia Cívica, mejorando la interacción con la ciudadanía y la eficacia en la gestión de la información.</w:t>
      </w:r>
    </w:p>
    <w:p w:rsidR="00000000" w:rsidDel="00000000" w:rsidP="00000000" w:rsidRDefault="00000000" w:rsidRPr="00000000" w14:paraId="00000026">
      <w:pPr>
        <w:ind w:left="-42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proyecto se construye sobre la base del exitoso mapa interactivo de quejas y capacitaciones, implementado previamente. La evolución hacia Datamarts y la incorporación de tecnologías de Big Data como Dataflow, Datamart y Business Intelligence permite una mayor profundidad en el análisis de datos y una mejor presentación de información relevante, ofreciendo una herramienta aún más poderosa y efectiva para la transparencia y rendición de cuentas.</w:t>
      </w:r>
    </w:p>
    <w:p w:rsidR="00000000" w:rsidDel="00000000" w:rsidP="00000000" w:rsidRDefault="00000000" w:rsidRPr="00000000" w14:paraId="00000027">
      <w:pPr>
        <w:ind w:left="-42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hemos integrado Open Data Services (ODS) para mejorar aún más la accesibilidad y utilidad de los datos. ODS proporciona un marco estándar para compartir y consumir datos abiertos, lo que facilita la interoperabilidad y el uso de los datos por parte de la ciudadanía y otras entidades gubernamentales. Esto amplía el alcance y la transparencia de la información proporcionada, permitiendo un análisis más profundo y una participación ciudadana más informada.</w:t>
      </w:r>
    </w:p>
    <w:p w:rsidR="00000000" w:rsidDel="00000000" w:rsidP="00000000" w:rsidRDefault="00000000" w:rsidRPr="00000000" w14:paraId="00000028">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Esta práctica, no sólo mejora la visibilidad y accesibilidad de la información, sino que también establece un nuevo estándar en el uso de tecnologías de Big Data y Open Data para la transparencia y la rendición de cuentas en el sector público. Al presentar la información de forma amigable y transparente, la plataforma facilita el acceso y la comprensión de datos relevantes para toda la población.</w:t>
      </w:r>
      <w:r w:rsidDel="00000000" w:rsidR="00000000" w:rsidRPr="00000000">
        <w:rPr>
          <w:rtl w:val="0"/>
        </w:rPr>
      </w:r>
    </w:p>
    <w:p w:rsidR="00000000" w:rsidDel="00000000" w:rsidP="00000000" w:rsidRDefault="00000000" w:rsidRPr="00000000" w14:paraId="00000029">
      <w:pPr>
        <w:ind w:left="-42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Indique qué es y cómo funciona ( Por ejemplo: es un Micrositio, pláticas que se llevaron a cabo en …, etc): </w:t>
      </w:r>
    </w:p>
    <w:p w:rsidR="00000000" w:rsidDel="00000000" w:rsidP="00000000" w:rsidRDefault="00000000" w:rsidRPr="00000000" w14:paraId="0000002A">
      <w:pPr>
        <w:ind w:left="-42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proyecto se centra en la implementación de tecnologías de Big Data y Open Data Services (ODS) para desarrollar una plataforma de paneles interactivos que visualizan y analizan detalladamente la información de los trámites proporcionados por la Comisión de Derechos Humanos del Estado de México (CODHEM). Utilizando herramientas como Dataflow, Datamart y Business Intelligence, la plataforma consolida y presenta información clave de manera amigable y transparente, accesible para toda la población.</w:t>
      </w:r>
    </w:p>
    <w:p w:rsidR="00000000" w:rsidDel="00000000" w:rsidP="00000000" w:rsidRDefault="00000000" w:rsidRPr="00000000" w14:paraId="0000002B">
      <w:pPr>
        <w:ind w:left="-42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puede visualizar la información sobre el total de trámites, las quejas presentadas por año y su estatus, las quejas por tipo de conclusión, quejas presentadas por municipio, el promedio de tiempo de atención y el número total de personas atendidas, ahora se pueden encontrar de manera gráfica, el total de trámites realizados por esta Casa de la Dignidad y las Libertades, así como los informes interactivos en tiempo real de Quejas, Asesorías y solicitudes de Amnistía y Opiniones Consultivas, Medidas Reparatorias y Diagnóstico Integral de Justicia Cívica, esta información se encuentra en un Micrositio, llamado “Transparencia Proactiva”, mismos que se describen a continuación: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94"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w:t>
      </w: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informe en tiempo real del total de tramites</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es una herramienta gráfica que permite concentrar el total de trámites realizados por año y por tipo (amnistía, canalización, gestión, información, mediación, orientación, queja, remisión, restitución dh y visitaduría intinerante), por municipio, por visitaduría, por género y por materia.</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94"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El informe en tiempo real de quejas</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cuenta con información sistematizada sobre quejas por fecha, estatus, municipio, conclusión y materia.</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94"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w:t>
      </w: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informe en tiempo real de asesorías</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nos permite concentrar las asesorías por fecha, por materia, por visitaduría, por género, grupo social y por municipio, permitiendo dar a conocer de una forma más intuitiva y dinámica los resultados a la población beneficiaria a efecto de fortalecer la cultura de respeto a los Derechos Humanos en el Estado de México.</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94"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w:t>
      </w: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Informe interactivo en tiempo real de solicitudes de amnistía y opiniones consultivas</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nos permite obtener información como: el número de solicitudes de amnistía directa y opiniones consultivas que han ingresado, cuantas se encuentran concluidas y cuantas en trámite; el género y el delito por el cual se solicita el beneficio, si fue presentada por un colectivo, familiar, imputado, o defensor; el Centro Penitenciario en donde se encuentra interno, el medio por el cual se presentó la solicitud, número de solicitudes recibidas por Visitaduría, si es primodelincuente o reincidente y la situación jurídica.</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294"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informe interactivo de medidas reparatorias, genera información respecto del total de medidas reparatorias (compensación, no repetición, rehabilitación, restitución y satisfacción), los tipos de medidas reparatorias, la autoridad a quien fue dirigida y el estatus en el que se encuentra.</w:t>
      </w:r>
    </w:p>
    <w:p w:rsidR="00000000" w:rsidDel="00000000" w:rsidP="00000000" w:rsidRDefault="00000000" w:rsidRPr="00000000" w14:paraId="00000031">
      <w:pPr>
        <w:ind w:left="-42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último y respecto al Diagnóstico Integral de Justicia Cívica, este se elaboró con el objetivo de evaluar si los 125 municipios mexiquenses están implementando la Ley de Justicia Cívica del Estado de México y sus Municipios (LJCEMM), conforme a los principios de derechos humanos. Esto incluye revisar si las personas infractoras reciben un trato digno, tienen acceso a servicios adecuados y si los procedimientos son justos y legales.</w:t>
      </w:r>
    </w:p>
    <w:p w:rsidR="00000000" w:rsidDel="00000000" w:rsidP="00000000" w:rsidRDefault="00000000" w:rsidRPr="00000000" w14:paraId="00000032">
      <w:pPr>
        <w:ind w:left="-425"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rtl w:val="0"/>
        </w:rPr>
        <w:t xml:space="preserve">El diagnóstico se centró en los siguientes derechos fundamentales: </w:t>
      </w:r>
      <w:r w:rsidDel="00000000" w:rsidR="00000000" w:rsidRPr="00000000">
        <w:rPr>
          <w:rFonts w:ascii="Palatino Linotype" w:cs="Palatino Linotype" w:eastAsia="Palatino Linotype" w:hAnsi="Palatino Linotype"/>
          <w:u w:val="single"/>
          <w:rtl w:val="0"/>
        </w:rPr>
        <w:t xml:space="preserve">Derecho a la protección de la salud:</w:t>
      </w:r>
      <w:r w:rsidDel="00000000" w:rsidR="00000000" w:rsidRPr="00000000">
        <w:rPr>
          <w:rFonts w:ascii="Palatino Linotype" w:cs="Palatino Linotype" w:eastAsia="Palatino Linotype" w:hAnsi="Palatino Linotype"/>
          <w:rtl w:val="0"/>
        </w:rPr>
        <w:t xml:space="preserve"> que las personas detenidas, incluso por periodos breves, tengan acceso a servicios médicos adecuados; </w:t>
      </w:r>
      <w:r w:rsidDel="00000000" w:rsidR="00000000" w:rsidRPr="00000000">
        <w:rPr>
          <w:rFonts w:ascii="Palatino Linotype" w:cs="Palatino Linotype" w:eastAsia="Palatino Linotype" w:hAnsi="Palatino Linotype"/>
          <w:u w:val="single"/>
          <w:rtl w:val="0"/>
        </w:rPr>
        <w:t xml:space="preserve">Derecho a una estancia digna y segura:</w:t>
      </w:r>
      <w:r w:rsidDel="00000000" w:rsidR="00000000" w:rsidRPr="00000000">
        <w:rPr>
          <w:rFonts w:ascii="Palatino Linotype" w:cs="Palatino Linotype" w:eastAsia="Palatino Linotype" w:hAnsi="Palatino Linotype"/>
          <w:rtl w:val="0"/>
        </w:rPr>
        <w:t xml:space="preserve"> que las condiciones físicas e higiénicas de los espacios donde permanecen las personas detenidas sean las adecuadas; </w:t>
      </w:r>
      <w:r w:rsidDel="00000000" w:rsidR="00000000" w:rsidRPr="00000000">
        <w:rPr>
          <w:rFonts w:ascii="Palatino Linotype" w:cs="Palatino Linotype" w:eastAsia="Palatino Linotype" w:hAnsi="Palatino Linotype"/>
          <w:u w:val="single"/>
          <w:rtl w:val="0"/>
        </w:rPr>
        <w:t xml:space="preserve">Derecho a la seguridad jurídica y debido procedimiento:</w:t>
      </w:r>
      <w:r w:rsidDel="00000000" w:rsidR="00000000" w:rsidRPr="00000000">
        <w:rPr>
          <w:rFonts w:ascii="Palatino Linotype" w:cs="Palatino Linotype" w:eastAsia="Palatino Linotype" w:hAnsi="Palatino Linotype"/>
          <w:rtl w:val="0"/>
        </w:rPr>
        <w:t xml:space="preserve"> que las autoridades municipales respeten las normas legales establecidas en la LJCEMM; y </w:t>
      </w:r>
      <w:r w:rsidDel="00000000" w:rsidR="00000000" w:rsidRPr="00000000">
        <w:rPr>
          <w:rFonts w:ascii="Palatino Linotype" w:cs="Palatino Linotype" w:eastAsia="Palatino Linotype" w:hAnsi="Palatino Linotype"/>
          <w:u w:val="single"/>
          <w:rtl w:val="0"/>
        </w:rPr>
        <w:t xml:space="preserve">Derecho a la integridad personal:</w:t>
      </w:r>
      <w:r w:rsidDel="00000000" w:rsidR="00000000" w:rsidRPr="00000000">
        <w:rPr>
          <w:rFonts w:ascii="Palatino Linotype" w:cs="Palatino Linotype" w:eastAsia="Palatino Linotype" w:hAnsi="Palatino Linotype"/>
          <w:rtl w:val="0"/>
        </w:rPr>
        <w:t xml:space="preserve"> que las autoridades cumplan con su deber de custodia de manera que garantice la integridad física y emocional de las personas bajo su responsabilidad, especialmente en momentos de detención.</w:t>
      </w:r>
      <w:r w:rsidDel="00000000" w:rsidR="00000000" w:rsidRPr="00000000">
        <w:rPr>
          <w:rtl w:val="0"/>
        </w:rPr>
      </w:r>
    </w:p>
    <w:p w:rsidR="00000000" w:rsidDel="00000000" w:rsidP="00000000" w:rsidRDefault="00000000" w:rsidRPr="00000000" w14:paraId="00000033">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Describa los contenidos, temas o información publicados como parte de la práctica:</w:t>
      </w:r>
    </w:p>
    <w:p w:rsidR="00000000" w:rsidDel="00000000" w:rsidP="00000000" w:rsidRDefault="00000000" w:rsidRPr="00000000" w14:paraId="00000034">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Se publica información respecto de los trámites que ofrece este organismo (amnistía, canalización, gestión, información, mediación, orientación, queja, remisión, restitución dh y visitaduría intinerante), sobre quejas presentadas, hechos violentados, autoridades presuntamente responsables, la escala de incidencia de las quejas. Asimismo, las asesorías proporcionadas por género, por el tipo de materia, (administrativa, penal, fiscal, familiar, penal penitenciaría, etc.), por año, y por Visitaduría; De igual manera, se cuenta con información relacionada con las solicitudes de amnistía y opiniones consultivas, sobre las medidas reparatorias en las que se acredito violaciones a derechos humanos, y sobre el Diagnóstico Integral de Justicia Cívica, en el que se evalúa a los 125 municipios del Estado de México, con la finalidad de verificar de que lleven a cabo lo establecido en la Ley de Justicia Cívica del Estado de México y sus Municipios, conforme a los principios de derechos humanos.</w:t>
      </w:r>
      <w:r w:rsidDel="00000000" w:rsidR="00000000" w:rsidRPr="00000000">
        <w:rPr>
          <w:rtl w:val="0"/>
        </w:rPr>
      </w:r>
    </w:p>
    <w:p w:rsidR="00000000" w:rsidDel="00000000" w:rsidP="00000000" w:rsidRDefault="00000000" w:rsidRPr="00000000" w14:paraId="00000035">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Describa el motivo por el que surgió:</w:t>
      </w:r>
    </w:p>
    <w:p w:rsidR="00000000" w:rsidDel="00000000" w:rsidP="00000000" w:rsidRDefault="00000000" w:rsidRPr="00000000" w14:paraId="00000036">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Surge derivado de las jornadas de sensibilización realizadas por personal del Instituto de Transparencia, Acceso a la Información Pública y Protección de Datos Personales del Estado de México y Municipios, y con la finalidad de ofrecer a la ciudadanía información fidedigna, útil y relevante, que sirva para la toma de decisiones, tanto de autoridades como de ciudadanos.</w:t>
      </w:r>
      <w:r w:rsidDel="00000000" w:rsidR="00000000" w:rsidRPr="00000000">
        <w:rPr>
          <w:rtl w:val="0"/>
        </w:rPr>
      </w:r>
    </w:p>
    <w:p w:rsidR="00000000" w:rsidDel="00000000" w:rsidP="00000000" w:rsidRDefault="00000000" w:rsidRPr="00000000" w14:paraId="00000037">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Enuncie los beneficios generados a partir de su implementación: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95"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 disminución en la presentación de solicitudes de acceso a la información;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95"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Perfeccionar la información generada para beneficio de la población; y</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95"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Promover la participación ciudadana.</w:t>
      </w:r>
      <w:r w:rsidDel="00000000" w:rsidR="00000000" w:rsidRPr="00000000">
        <w:rPr>
          <w:rtl w:val="0"/>
        </w:rPr>
      </w:r>
    </w:p>
    <w:p w:rsidR="00000000" w:rsidDel="00000000" w:rsidP="00000000" w:rsidRDefault="00000000" w:rsidRPr="00000000" w14:paraId="0000003B">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Explica de qué manera la práctica cumple con los atributos de calidad de la información, publicados en los Lineamientos de Implementación y Evaluación de Transparencia Proactiva y que se refieren a: Ser accesible: </w:t>
      </w:r>
    </w:p>
    <w:tbl>
      <w:tblPr>
        <w:tblStyle w:val="Table2"/>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910"/>
        <w:gridCol w:w="5310"/>
        <w:tblGridChange w:id="0">
          <w:tblGrid>
            <w:gridCol w:w="600"/>
            <w:gridCol w:w="2910"/>
            <w:gridCol w:w="531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D">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Atributo de Calidad</w:t>
            </w:r>
          </w:p>
        </w:tc>
        <w:tc>
          <w:tcPr>
            <w:shd w:fill="efefef"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Explicación</w:t>
            </w:r>
          </w:p>
        </w:tc>
      </w:tr>
      <w:tr>
        <w:trPr>
          <w:cantSplit w:val="0"/>
          <w:trHeight w:val="385"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w:t>
            </w:r>
          </w:p>
        </w:tc>
        <w:tc>
          <w:tcPr>
            <w:shd w:fill="efefef"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Accesible</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Cualquier persona puede acceder a ella, toda vez que está diseñada para garantizar la igualdad de condiciones en el acceso a la información, se realizaron los ajustes razonables en la página institucional para mejorar la accesibilidad y facilitar la navegación a personas en situación de vulnerabilidad.</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w:t>
            </w:r>
          </w:p>
        </w:tc>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Confiable</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lo refiere el nombre de esta práctica de transparencia proactiva, la información que se presenta es en tiempo real, es decir, se va actualizando conforme se va generando la información, de tal manera que resulta muy confiable.</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Comprensible</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tratarse de informes interactivos resultan muy comprensibles y fáciles de manejar , además que te permite visualizar la información mediante tablas.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w:t>
            </w:r>
          </w:p>
        </w:tc>
        <w:tc>
          <w:tcPr>
            <w:shd w:fill="efefef"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Oportuna</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oportuna, toda vez que la información es en tiempo real, siendo útil para la toma de decisiones.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w:t>
            </w:r>
          </w:p>
        </w:tc>
        <w:tc>
          <w:tcPr>
            <w:shd w:fill="efefef"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Veraz</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ser información en tiempo real, se presenta información fidedigna, exacta y veraz.</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w:t>
            </w:r>
          </w:p>
        </w:tc>
        <w:tc>
          <w:tcPr>
            <w:shd w:fill="efefef"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Congruente</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informes interactivos presentados en esta práctica, se relacionan entre sí, ya que los trámites, quejas, asesorías, y solicitudes de amnistía, son las acciones sustantivas realizadas por este Organismo.</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w:t>
            </w:r>
          </w:p>
        </w:tc>
        <w:tc>
          <w:tcPr>
            <w:shd w:fill="efefef"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Completa</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datos de los informes interactivos de esta práctica de transparencia proactiva, contienen información de las principales actividades realizadas por esta Comisión Estatal.</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w:t>
            </w:r>
          </w:p>
        </w:tc>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Actualizada</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todo momento se tiene la última versión de la información, ya que los datos que se publican son informes en tiempo real.</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w:t>
            </w:r>
          </w:p>
        </w:tc>
        <w:tc>
          <w:tcPr>
            <w:shd w:fill="efefef"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Verificable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contenida y presentada se obtiene directamente de las bases de datos de los sistemas de información de este Organismo.</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w:t>
            </w:r>
          </w:p>
        </w:tc>
        <w:tc>
          <w:tcPr>
            <w:shd w:fill="efefef"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Abiertos</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informes interactivos sobre el total de trámites otorgados por este Organismo, así como el de quejas, permiten obtener la información en formato Excel, lo que permite al usuario reutilizar libremente la información.</w:t>
            </w:r>
          </w:p>
        </w:tc>
      </w:tr>
    </w:tbl>
    <w:p w:rsidR="00000000" w:rsidDel="00000000" w:rsidP="00000000" w:rsidRDefault="00000000" w:rsidRPr="00000000" w14:paraId="0000005F">
      <w:pPr>
        <w:jc w:val="both"/>
        <w:rPr>
          <w:rFonts w:ascii="Palatino Linotype" w:cs="Palatino Linotype" w:eastAsia="Palatino Linotype" w:hAnsi="Palatino Linotype"/>
          <w:b w:val="1"/>
        </w:rPr>
      </w:pPr>
      <w:r w:rsidDel="00000000" w:rsidR="00000000" w:rsidRPr="00000000">
        <w:rPr>
          <w:rtl w:val="0"/>
        </w:rPr>
      </w:r>
    </w:p>
    <w:tbl>
      <w:tblPr>
        <w:tblStyle w:val="Table3"/>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93"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0">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 Indique de qué manera cumple con los objetivos su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4">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Disminuir asimetrías de la información </w:t>
            </w:r>
          </w:p>
          <w:p w:rsidR="00000000" w:rsidDel="00000000" w:rsidP="00000000" w:rsidRDefault="00000000" w:rsidRPr="00000000" w14:paraId="00000065">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6">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7">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Mejorar el acceso a trámites o servicios</w:t>
            </w:r>
          </w:p>
          <w:p w:rsidR="00000000" w:rsidDel="00000000" w:rsidP="00000000" w:rsidRDefault="00000000" w:rsidRPr="00000000" w14:paraId="00000068">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9">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A">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Optimizar la toma de decisiones de autoridades, ciudadanos o de la población en general</w:t>
            </w:r>
          </w:p>
          <w:p w:rsidR="00000000" w:rsidDel="00000000" w:rsidP="00000000" w:rsidRDefault="00000000" w:rsidRPr="00000000" w14:paraId="0000006B">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C">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D">
            <w:pPr>
              <w:spacing w:after="0" w:lineRule="auto"/>
              <w:ind w:left="-566"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Detonar la rendición de cuentas efectiva</w:t>
            </w:r>
          </w:p>
          <w:p w:rsidR="00000000" w:rsidDel="00000000" w:rsidP="00000000" w:rsidRDefault="00000000" w:rsidRPr="00000000" w14:paraId="0000006E">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F">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left="164"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ind w:left="27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581"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ind w:left="445"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4">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Observaciones: </w:t>
            </w:r>
            <w:r w:rsidDel="00000000" w:rsidR="00000000" w:rsidRPr="00000000">
              <w:rPr>
                <w:rFonts w:ascii="Palatino Linotype" w:cs="Palatino Linotype" w:eastAsia="Palatino Linotype" w:hAnsi="Palatino Linotype"/>
                <w:i w:val="1"/>
                <w:rtl w:val="0"/>
              </w:rPr>
              <w:t xml:space="preserve">(anote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79"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disminuyen las asimetrías de la información, ya que se publican dípticos y folletos los cuales contienen información relevante.</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79"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 ciudadanía tiene acceso directo a la información necesaria para realizar trámites o acceder a servicios.</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79"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Con la información contenida en esta práctica de transparencia, se optimiza la toma de decisiones, tanto de autoridades, como de la población en general, ya que se proporciona información actualizada  y en datos abiertos, sobre el total de trámites otorgamos por este Organismo, sobre quejas presentadas, los derechos violentados, autoridades responsables, entre otros.</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79"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fortalece la rendición de cuentas, toda vez que con la implementación de esta práctica se permite a los ciudadanos monitorear, evaluar y emitir sugerencias, lo que lo convierte en una actividad de control, seguimiento y vigilancia, ya que se informa sobre las acciones sustantivas realizadas por este Organismo</w:t>
            </w:r>
          </w:p>
        </w:tc>
      </w:tr>
    </w:tbl>
    <w:p w:rsidR="00000000" w:rsidDel="00000000" w:rsidP="00000000" w:rsidRDefault="00000000" w:rsidRPr="00000000" w14:paraId="0000007F">
      <w:pPr>
        <w:rPr>
          <w:rFonts w:ascii="Palatino Linotype" w:cs="Palatino Linotype" w:eastAsia="Palatino Linotype" w:hAnsi="Palatino Linotype"/>
          <w:b w:val="1"/>
          <w:highlight w:val="yellow"/>
        </w:rPr>
      </w:pPr>
      <w:r w:rsidDel="00000000" w:rsidR="00000000" w:rsidRPr="00000000">
        <w:rPr>
          <w:rtl w:val="0"/>
        </w:rPr>
      </w:r>
    </w:p>
    <w:tbl>
      <w:tblPr>
        <w:tblStyle w:val="Table4"/>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 ¿La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1">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85">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A">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C">
            <w:pPr>
              <w:rPr>
                <w:rFonts w:ascii="Palatino Linotype" w:cs="Palatino Linotype" w:eastAsia="Palatino Linotype" w:hAnsi="Palatino Linotype"/>
                <w:b w:val="1"/>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8F">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91">
            <w:pPr>
              <w:rPr>
                <w:rFonts w:ascii="Palatino Linotype" w:cs="Palatino Linotype" w:eastAsia="Palatino Linotype" w:hAnsi="Palatino Linotype"/>
                <w:b w:val="1"/>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6">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99">
      <w:pPr>
        <w:rPr>
          <w:rFonts w:ascii="Palatino Linotype" w:cs="Palatino Linotype" w:eastAsia="Palatino Linotype" w:hAnsi="Palatino Linotype"/>
          <w:b w:val="1"/>
        </w:rPr>
      </w:pPr>
      <w:r w:rsidDel="00000000" w:rsidR="00000000" w:rsidRPr="00000000">
        <w:rPr>
          <w:rtl w:val="0"/>
        </w:rPr>
      </w:r>
    </w:p>
    <w:tbl>
      <w:tblPr>
        <w:tblStyle w:val="Table5"/>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A">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 ¿La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ind w:left="-349"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F">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indirecta, a través de la encuesta de satisfacción que se encuentra dentro del micrositio, la cual ha permitido mejorar el contenido de la práctica implementada, a través de sus cometarios y/o sugerencias se ha renovado la calidad de la información, así como la presentación de gráficos y esquemas para una consulta más ágil. Y de manera directa, mediante la retroalimentación con las Organizaciones de la Sociedad Civil y Defensores Municipales de Derechos Humanos e incluso con el Consejo Consultivo.</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9">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Adjuntar  y nombrar la evidencia o hipervínculo de la participación (pueden ser minutas o actas de trabajo, evidencias fotográficas, videos, etc.)</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 adjuntan los resultados de la encuesta de satisfacción. (Evidencia 1)</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3">
            <w:pPr>
              <w:ind w:hanging="42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B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6"/>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11.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ind w:left="-345"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ind w:left="-179" w:firstLine="0"/>
              <w:rPr>
                <w:rFonts w:ascii="Palatino Linotype" w:cs="Palatino Linotype" w:eastAsia="Palatino Linotype" w:hAnsi="Palatino Linotype"/>
                <w:b w:val="1"/>
              </w:rPr>
            </w:pP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la implementación de esta práctica se busca reducir el número de solicitudes de información pública, presentas en esta Defensoría de Habitantes, ya que la demanda de la información sobre temas como: trámites, número de quejas presentadas, autoridades presuntamente responsables, derechos violentados, los trámites que ofrece el Organismo, los municipios con mayor número de quejas, trámites, asesorías, solicitudes de amnistía y opiniones consultivas, medidas reparatorias, la forma en como se presenta una queja, qué hace la Codhem, , entre otros, es muy constante por parte de la ciudadanía.</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4">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D7">
      <w:pPr>
        <w:rPr>
          <w:rFonts w:ascii="Palatino Linotype" w:cs="Palatino Linotype" w:eastAsia="Palatino Linotype" w:hAnsi="Palatino Linotype"/>
          <w:b w:val="1"/>
        </w:rPr>
      </w:pPr>
      <w:bookmarkStart w:colFirst="0" w:colLast="0" w:name="_heading=h.1fob9te" w:id="0"/>
      <w:bookmarkEnd w:id="0"/>
      <w:r w:rsidDel="00000000" w:rsidR="00000000" w:rsidRPr="00000000">
        <w:rPr>
          <w:rtl w:val="0"/>
        </w:rPr>
      </w:r>
    </w:p>
    <w:tbl>
      <w:tblPr>
        <w:tblStyle w:val="Table7"/>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12. 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C">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D">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ind w:left="591"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1">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Enlista  las fuentes utilizadas y como fueron aprovechadas: </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ind w:left="-685"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INEGI</w:t>
            </w:r>
          </w:p>
          <w:p w:rsidR="00000000" w:rsidDel="00000000" w:rsidP="00000000" w:rsidRDefault="00000000" w:rsidRPr="00000000" w14:paraId="000000E5">
            <w:pPr>
              <w:ind w:left="-685"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Bases de datos de los Sistemas de este Organismo</w:t>
            </w:r>
          </w:p>
          <w:p w:rsidR="00000000" w:rsidDel="00000000" w:rsidP="00000000" w:rsidRDefault="00000000" w:rsidRPr="00000000" w14:paraId="000000E6">
            <w:pPr>
              <w:ind w:left="-685" w:firstLine="0"/>
              <w:rPr>
                <w:rFonts w:ascii="Palatino Linotype" w:cs="Palatino Linotype" w:eastAsia="Palatino Linotype" w:hAnsi="Palatino Linotype"/>
                <w:b w:val="1"/>
                <w:highlight w:val="yellow"/>
              </w:rPr>
            </w:pPr>
            <w:r w:rsidDel="00000000" w:rsidR="00000000" w:rsidRPr="00000000">
              <w:rPr>
                <w:rFonts w:ascii="Palatino Linotype" w:cs="Palatino Linotype" w:eastAsia="Palatino Linotype" w:hAnsi="Palatino Linotype"/>
                <w:rtl w:val="0"/>
              </w:rPr>
              <w:t xml:space="preserve">La fuente utilizada del INEGI se aprovechó para calcular el total de acciones realizadas en el municipio.</w:t>
            </w:r>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9">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E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8"/>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 ¿Se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1">
            <w:pPr>
              <w:ind w:hanging="52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3">
            <w:pPr>
              <w:ind w:left="-35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mencione como se ha difundido su información generada y que medios de comunicación se utilizaron ( trípticos, volantes, radio, televisión, perifoneo, redes sociales, etc):</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No es afirmativo, toda vez que va dirigido a la población en general, sin embargo, la difusión de esta práctica de transparencia proactiva, se realiza mediante distribución de dípticos los cuales dan a conocer este micrositio, mediante notas periodísticas y en diversas redes sociales. Asimismo, su difusión se ha realizado mediante presentaciones realizadas por la propia Presidenta de este Organismo.</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ind w:left="-687" w:firstLine="0"/>
              <w:jc w:val="both"/>
              <w:rPr>
                <w:rFonts w:ascii="Palatino Linotype" w:cs="Palatino Linotype" w:eastAsia="Palatino Linotype" w:hAnsi="Palatino Linotype"/>
              </w:rPr>
            </w:pPr>
            <w:hyperlink r:id="rId8">
              <w:r w:rsidDel="00000000" w:rsidR="00000000" w:rsidRPr="00000000">
                <w:rPr>
                  <w:rFonts w:ascii="Palatino Linotype" w:cs="Palatino Linotype" w:eastAsia="Palatino Linotype" w:hAnsi="Palatino Linotype"/>
                  <w:color w:val="0563c1"/>
                  <w:u w:val="single"/>
                  <w:rtl w:val="0"/>
                </w:rPr>
                <w:t xml:space="preserve">https://www.milenio.com/estados/micrositio-transparencia-proactiva-de-codhem</w:t>
              </w:r>
            </w:hyperlink>
            <w:r w:rsidDel="00000000" w:rsidR="00000000" w:rsidRPr="00000000">
              <w:rPr>
                <w:rtl w:val="0"/>
              </w:rPr>
            </w:r>
          </w:p>
          <w:p w:rsidR="00000000" w:rsidDel="00000000" w:rsidP="00000000" w:rsidRDefault="00000000" w:rsidRPr="00000000" w14:paraId="00000105">
            <w:pPr>
              <w:ind w:left="-687" w:firstLine="0"/>
              <w:jc w:val="both"/>
              <w:rPr>
                <w:rFonts w:ascii="Palatino Linotype" w:cs="Palatino Linotype" w:eastAsia="Palatino Linotype" w:hAnsi="Palatino Linotype"/>
              </w:rPr>
            </w:pPr>
            <w:hyperlink r:id="rId9">
              <w:r w:rsidDel="00000000" w:rsidR="00000000" w:rsidRPr="00000000">
                <w:rPr>
                  <w:rFonts w:ascii="Palatino Linotype" w:cs="Palatino Linotype" w:eastAsia="Palatino Linotype" w:hAnsi="Palatino Linotype"/>
                  <w:color w:val="0563c1"/>
                  <w:u w:val="single"/>
                  <w:rtl w:val="0"/>
                </w:rPr>
                <w:t xml:space="preserve">https://asisucede.com.mx/presenta-codhem-micrositio-de-transparencia-proactiva/</w:t>
              </w:r>
            </w:hyperlink>
            <w:r w:rsidDel="00000000" w:rsidR="00000000" w:rsidRPr="00000000">
              <w:rPr>
                <w:rtl w:val="0"/>
              </w:rPr>
            </w:r>
          </w:p>
          <w:p w:rsidR="00000000" w:rsidDel="00000000" w:rsidP="00000000" w:rsidRDefault="00000000" w:rsidRPr="00000000" w14:paraId="00000106">
            <w:pPr>
              <w:ind w:left="-687" w:firstLine="0"/>
              <w:jc w:val="both"/>
              <w:rPr>
                <w:rFonts w:ascii="Palatino Linotype" w:cs="Palatino Linotype" w:eastAsia="Palatino Linotype" w:hAnsi="Palatino Linotype"/>
              </w:rPr>
            </w:pPr>
            <w:hyperlink r:id="rId10">
              <w:r w:rsidDel="00000000" w:rsidR="00000000" w:rsidRPr="00000000">
                <w:rPr>
                  <w:rFonts w:ascii="Palatino Linotype" w:cs="Palatino Linotype" w:eastAsia="Palatino Linotype" w:hAnsi="Palatino Linotype"/>
                  <w:color w:val="0563c1"/>
                  <w:u w:val="single"/>
                  <w:rtl w:val="0"/>
                </w:rPr>
                <w:t xml:space="preserve">https://diario-puntual.com.mx/presenta-codhem-micrositio-de-transparencia-proactiva/</w:t>
              </w:r>
            </w:hyperlink>
            <w:r w:rsidDel="00000000" w:rsidR="00000000" w:rsidRPr="00000000">
              <w:rPr>
                <w:rtl w:val="0"/>
              </w:rPr>
            </w:r>
          </w:p>
          <w:p w:rsidR="00000000" w:rsidDel="00000000" w:rsidP="00000000" w:rsidRDefault="00000000" w:rsidRPr="00000000" w14:paraId="00000107">
            <w:pPr>
              <w:ind w:left="-687" w:firstLine="0"/>
              <w:jc w:val="both"/>
              <w:rPr>
                <w:rFonts w:ascii="Palatino Linotype" w:cs="Palatino Linotype" w:eastAsia="Palatino Linotype" w:hAnsi="Palatino Linotype"/>
              </w:rPr>
            </w:pPr>
            <w:hyperlink r:id="rId11">
              <w:r w:rsidDel="00000000" w:rsidR="00000000" w:rsidRPr="00000000">
                <w:rPr>
                  <w:rFonts w:ascii="Palatino Linotype" w:cs="Palatino Linotype" w:eastAsia="Palatino Linotype" w:hAnsi="Palatino Linotype"/>
                  <w:color w:val="0563c1"/>
                  <w:u w:val="single"/>
                  <w:rtl w:val="0"/>
                </w:rPr>
                <w:t xml:space="preserve">https://www.codhem.org.mx/presenta-codhem-resultado-del-diagnostico-integral-sobre-ddhh-en-la-justicia-civica-municipal-del-edomex/</w:t>
              </w:r>
            </w:hyperlink>
            <w:r w:rsidDel="00000000" w:rsidR="00000000" w:rsidRPr="00000000">
              <w:rPr>
                <w:rtl w:val="0"/>
              </w:rPr>
            </w:r>
          </w:p>
          <w:p w:rsidR="00000000" w:rsidDel="00000000" w:rsidP="00000000" w:rsidRDefault="00000000" w:rsidRPr="00000000" w14:paraId="00000108">
            <w:pPr>
              <w:ind w:left="-687"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De igual manera se remiten de manera adjunta el material fotográfico en el que se difunde la práctica de transparencia proactiva. </w:t>
            </w:r>
            <w:r w:rsidDel="00000000" w:rsidR="00000000" w:rsidRPr="00000000">
              <w:rPr>
                <w:rFonts w:ascii="Palatino Linotype" w:cs="Palatino Linotype" w:eastAsia="Palatino Linotype" w:hAnsi="Palatino Linotype"/>
                <w:b w:val="1"/>
                <w:rtl w:val="0"/>
              </w:rPr>
              <w:t xml:space="preserve">(Evidencia 2)</w:t>
            </w:r>
          </w:p>
        </w:tc>
      </w:tr>
    </w:tbl>
    <w:p w:rsidR="00000000" w:rsidDel="00000000" w:rsidP="00000000" w:rsidRDefault="00000000" w:rsidRPr="00000000" w14:paraId="0000010D">
      <w:pPr>
        <w:rPr>
          <w:rFonts w:ascii="Palatino Linotype" w:cs="Palatino Linotype" w:eastAsia="Palatino Linotype" w:hAnsi="Palatino Linotype"/>
          <w:b w:val="1"/>
        </w:rPr>
      </w:pPr>
      <w:r w:rsidDel="00000000" w:rsidR="00000000" w:rsidRPr="00000000">
        <w:rPr>
          <w:rtl w:val="0"/>
        </w:rPr>
      </w:r>
    </w:p>
    <w:tbl>
      <w:tblPr>
        <w:tblStyle w:val="Table9"/>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14. 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3">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A">
            <w:pPr>
              <w:rPr>
                <w:rFonts w:ascii="Palatino Linotype" w:cs="Palatino Linotype" w:eastAsia="Palatino Linotype" w:hAnsi="Palatino Linotype"/>
                <w:b w:val="1"/>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D">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1F">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22">
      <w:pPr>
        <w:rPr>
          <w:rFonts w:ascii="Palatino Linotype" w:cs="Palatino Linotype" w:eastAsia="Palatino Linotype" w:hAnsi="Palatino Linotype"/>
          <w:b w:val="1"/>
        </w:rPr>
      </w:pPr>
      <w:r w:rsidDel="00000000" w:rsidR="00000000" w:rsidRPr="00000000">
        <w:rPr>
          <w:rtl w:val="0"/>
        </w:rPr>
      </w:r>
    </w:p>
    <w:tbl>
      <w:tblPr>
        <w:tblStyle w:val="Table10"/>
        <w:tblW w:w="9795.0" w:type="dxa"/>
        <w:jc w:val="center"/>
        <w:tblLayout w:type="fixed"/>
        <w:tblLook w:val="0400"/>
      </w:tblPr>
      <w:tblGrid>
        <w:gridCol w:w="4950"/>
        <w:gridCol w:w="999"/>
        <w:gridCol w:w="975"/>
        <w:gridCol w:w="1380"/>
        <w:gridCol w:w="1260"/>
        <w:gridCol w:w="231"/>
        <w:tblGridChange w:id="0">
          <w:tblGrid>
            <w:gridCol w:w="4950"/>
            <w:gridCol w:w="999"/>
            <w:gridCol w:w="975"/>
            <w:gridCol w:w="1380"/>
            <w:gridCol w:w="1260"/>
            <w:gridCol w:w="231"/>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15. ¿La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ind w:left="-797"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6">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1"/>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8">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explique el funcionamiento y uso de los mecanismos de participación (encuesta de satisfacción) utilizados:</w:t>
            </w:r>
          </w:p>
        </w:tc>
      </w:tr>
      <w:tr>
        <w:trPr>
          <w:cantSplit w:val="0"/>
          <w:trHeight w:val="221" w:hRule="atLeast"/>
          <w:tblHeader w:val="1"/>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ind w:left="-708" w:firstLine="0"/>
              <w:jc w:val="both"/>
              <w:rPr>
                <w:rFonts w:ascii="Palatino Linotype" w:cs="Palatino Linotype" w:eastAsia="Palatino Linotype" w:hAnsi="Palatino Linotype"/>
                <w:b w:val="1"/>
                <w:highlight w:val="yellow"/>
              </w:rPr>
            </w:pPr>
            <w:r w:rsidDel="00000000" w:rsidR="00000000" w:rsidRPr="00000000">
              <w:rPr>
                <w:rFonts w:ascii="Palatino Linotype" w:cs="Palatino Linotype" w:eastAsia="Palatino Linotype" w:hAnsi="Palatino Linotype"/>
                <w:rtl w:val="0"/>
              </w:rPr>
              <w:t xml:space="preserve">Es importante describir que dentro de la página institucional plataforma se implementó, una encuesta de satisfacción, mediante la cual nos permite conocer sobre el servicio que brinda el Micrositio de Transparencia Proactiva de esta Casa de la Dignidad y las Libertades, pues estamos interesados en conocer la opinión de la ciudadanía y saber que la información que se les proporciona será utilizada para la mejora continua del micrositio, esto con el propósito de que consulten información deseada y de utilidad para la ciudadanía</w:t>
            </w:r>
            <w:r w:rsidDel="00000000" w:rsidR="00000000" w:rsidRPr="00000000">
              <w:rPr>
                <w:rtl w:val="0"/>
              </w:rPr>
            </w:r>
          </w:p>
        </w:tc>
      </w:tr>
      <w:tr>
        <w:trPr>
          <w:cantSplit w:val="0"/>
          <w:trHeight w:val="214" w:hRule="atLeast"/>
          <w:tblHeader w:val="1"/>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1"/>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ind w:left="-708" w:firstLine="0"/>
              <w:rPr>
                <w:rFonts w:ascii="Palatino Linotype" w:cs="Palatino Linotype" w:eastAsia="Palatino Linotype" w:hAnsi="Palatino Linotype"/>
              </w:rPr>
            </w:pPr>
            <w:hyperlink r:id="rId12">
              <w:r w:rsidDel="00000000" w:rsidR="00000000" w:rsidRPr="00000000">
                <w:rPr>
                  <w:rFonts w:ascii="Palatino Linotype" w:cs="Palatino Linotype" w:eastAsia="Palatino Linotype" w:hAnsi="Palatino Linotype"/>
                  <w:color w:val="0563c1"/>
                  <w:u w:val="single"/>
                  <w:rtl w:val="0"/>
                </w:rPr>
                <w:t xml:space="preserve">https://forms.office.com/pages/responsepage.aspx?id=_xYjsTX3ekucf4l6OxS9iGEW2adc6DJLpxr98E1Vvh5UMzZZSzEyMzFaWkJJSks0MDE0QlUxMVZPNy4u</w:t>
              </w:r>
            </w:hyperlink>
            <w:r w:rsidDel="00000000" w:rsidR="00000000" w:rsidRPr="00000000">
              <w:rPr>
                <w:rtl w:val="0"/>
              </w:rPr>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bl>
    <w:p w:rsidR="00000000" w:rsidDel="00000000" w:rsidP="00000000" w:rsidRDefault="00000000" w:rsidRPr="00000000" w14:paraId="00000146">
      <w:pPr>
        <w:rPr>
          <w:rFonts w:ascii="Palatino Linotype" w:cs="Palatino Linotype" w:eastAsia="Palatino Linotype" w:hAnsi="Palatino Linotype"/>
          <w:b w:val="1"/>
        </w:rPr>
      </w:pPr>
      <w:r w:rsidDel="00000000" w:rsidR="00000000" w:rsidRPr="00000000">
        <w:rPr>
          <w:rtl w:val="0"/>
        </w:rPr>
      </w:r>
    </w:p>
    <w:tbl>
      <w:tblPr>
        <w:tblStyle w:val="Table11"/>
        <w:tblW w:w="9780.0" w:type="dxa"/>
        <w:jc w:val="center"/>
        <w:tblLayout w:type="fixed"/>
        <w:tblLook w:val="0400"/>
      </w:tblPr>
      <w:tblGrid>
        <w:gridCol w:w="5280"/>
        <w:gridCol w:w="975"/>
        <w:gridCol w:w="1575"/>
        <w:gridCol w:w="975"/>
        <w:gridCol w:w="975"/>
        <w:tblGridChange w:id="0">
          <w:tblGrid>
            <w:gridCol w:w="5280"/>
            <w:gridCol w:w="975"/>
            <w:gridCol w:w="1575"/>
            <w:gridCol w:w="975"/>
            <w:gridCol w:w="97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7">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16. ¿La práctica cuenta con algún registro del número de consultas realizadas a la información difundida? </w:t>
            </w:r>
            <w:r w:rsidDel="00000000" w:rsidR="00000000" w:rsidRPr="00000000">
              <w:rPr>
                <w:rFonts w:ascii="Palatino Linotype" w:cs="Palatino Linotype" w:eastAsia="Palatino Linotype" w:hAnsi="Palatino Linotype"/>
                <w:i w:val="1"/>
                <w:rtl w:val="0"/>
              </w:rPr>
              <w:t xml:space="preserve">(por ejemplo: número de visitas al sitio de la práctica, número de usuarios atendidos, entre otros mecanismos). </w:t>
            </w: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8">
            <w:pPr>
              <w:ind w:hanging="584"/>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A">
            <w:pPr>
              <w:ind w:hanging="7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C">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el cumplimiento y uso que se le da al número de consultas  (contador de visitas) realizadas de la práctica: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Anteriormente el contador de visitas nos permita saber la cantidad de usuarios que ingresaban a la página para consultar alguna información de su interés, sin embargo, se perfeccionó dicho automatizador, por lo que ahora, nos permite saber el número de visitas, el número total de usuarios activos, el tiempo de interacción, incluso saber la edad de la audiencia, y conocer la ciudad desde la cual se hace la búsqueda.</w:t>
            </w:r>
            <w:r w:rsidDel="00000000" w:rsidR="00000000" w:rsidRPr="00000000">
              <w:rPr>
                <w:rtl w:val="0"/>
              </w:rPr>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6">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 Se adjunta el Informe panorámico de los usuarios que ingresan a la página </w:t>
            </w:r>
            <w:r w:rsidDel="00000000" w:rsidR="00000000" w:rsidRPr="00000000">
              <w:rPr>
                <w:rFonts w:ascii="Palatino Linotype" w:cs="Palatino Linotype" w:eastAsia="Palatino Linotype" w:hAnsi="Palatino Linotype"/>
                <w:b w:val="1"/>
                <w:rtl w:val="0"/>
              </w:rPr>
              <w:t xml:space="preserve">(Evidencia 3)</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bl>
    <w:p w:rsidR="00000000" w:rsidDel="00000000" w:rsidP="00000000" w:rsidRDefault="00000000" w:rsidRPr="00000000" w14:paraId="00000165">
      <w:pPr>
        <w:rPr>
          <w:rFonts w:ascii="Palatino Linotype" w:cs="Palatino Linotype" w:eastAsia="Palatino Linotype" w:hAnsi="Palatino Linotype"/>
          <w:b w:val="1"/>
        </w:rPr>
      </w:pPr>
      <w:bookmarkStart w:colFirst="0" w:colLast="0" w:name="_heading=h.30j0zll" w:id="1"/>
      <w:bookmarkEnd w:id="1"/>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6">
            <w:pPr>
              <w:ind w:left="-708" w:firstLine="0"/>
              <w:rPr>
                <w:rFonts w:ascii="Palatino Linotype" w:cs="Palatino Linotype" w:eastAsia="Palatino Linotype" w:hAnsi="Palatino Linotype"/>
                <w:b w:val="1"/>
                <w:shd w:fill="e69138" w:val="clear"/>
              </w:rPr>
            </w:pPr>
            <w:r w:rsidDel="00000000" w:rsidR="00000000" w:rsidRPr="00000000">
              <w:rPr>
                <w:rFonts w:ascii="Palatino Linotype" w:cs="Palatino Linotype" w:eastAsia="Palatino Linotype" w:hAnsi="Palatino Linotype"/>
                <w:b w:val="1"/>
                <w:rtl w:val="0"/>
              </w:rPr>
              <w:t xml:space="preserve">17. Listado de soportes documentales —y en su caso hipervínculos— que se adjuntan sobre la práctica: </w:t>
            </w: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Enlace del sitio de Transparencia Proactiva</w:t>
            </w:r>
          </w:p>
          <w:p w:rsidR="00000000" w:rsidDel="00000000" w:rsidP="00000000" w:rsidRDefault="00000000" w:rsidRPr="00000000" w14:paraId="00000168">
            <w:pPr>
              <w:ind w:left="-425" w:firstLine="0"/>
              <w:jc w:val="both"/>
              <w:rPr>
                <w:rFonts w:ascii="Palatino Linotype" w:cs="Palatino Linotype" w:eastAsia="Palatino Linotype" w:hAnsi="Palatino Linotype"/>
                <w:b w:val="1"/>
              </w:rPr>
            </w:pPr>
            <w:hyperlink r:id="rId13">
              <w:r w:rsidDel="00000000" w:rsidR="00000000" w:rsidRPr="00000000">
                <w:rPr>
                  <w:rFonts w:ascii="Palatino Linotype" w:cs="Palatino Linotype" w:eastAsia="Palatino Linotype" w:hAnsi="Palatino Linotype"/>
                  <w:color w:val="0563c1"/>
                  <w:u w:val="single"/>
                  <w:rtl w:val="0"/>
                </w:rPr>
                <w:t xml:space="preserve">https://www.codhem.org.mx/transparencia-proactiva/</w:t>
              </w:r>
            </w:hyperlink>
            <w:r w:rsidDel="00000000" w:rsidR="00000000" w:rsidRPr="00000000">
              <w:rPr>
                <w:rtl w:val="0"/>
              </w:rPr>
            </w:r>
          </w:p>
          <w:p w:rsidR="00000000" w:rsidDel="00000000" w:rsidP="00000000" w:rsidRDefault="00000000" w:rsidRPr="00000000" w14:paraId="00000169">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2.- Enlace de la encuesta de satisfacción</w:t>
            </w:r>
          </w:p>
          <w:p w:rsidR="00000000" w:rsidDel="00000000" w:rsidP="00000000" w:rsidRDefault="00000000" w:rsidRPr="00000000" w14:paraId="0000016A">
            <w:pPr>
              <w:ind w:left="-708" w:firstLine="0"/>
              <w:jc w:val="both"/>
              <w:rPr>
                <w:rFonts w:ascii="Palatino Linotype" w:cs="Palatino Linotype" w:eastAsia="Palatino Linotype" w:hAnsi="Palatino Linotype"/>
              </w:rPr>
            </w:pPr>
            <w:hyperlink r:id="rId14">
              <w:r w:rsidDel="00000000" w:rsidR="00000000" w:rsidRPr="00000000">
                <w:rPr>
                  <w:rFonts w:ascii="Palatino Linotype" w:cs="Palatino Linotype" w:eastAsia="Palatino Linotype" w:hAnsi="Palatino Linotype"/>
                  <w:rtl w:val="0"/>
                </w:rPr>
                <w:t xml:space="preserve">https://forms.office.com/pages/responsepage.aspx?id=_xYjsTX3ekucf4l6OxS9iGEW2adc6DJLpxr98E1Vvh5UMzZZSzEyMzFaWkJJSks0MDE0QlUxMVZPNy4u</w:t>
              </w:r>
            </w:hyperlink>
            <w:r w:rsidDel="00000000" w:rsidR="00000000" w:rsidRPr="00000000">
              <w:rPr>
                <w:rtl w:val="0"/>
              </w:rPr>
            </w:r>
          </w:p>
          <w:p w:rsidR="00000000" w:rsidDel="00000000" w:rsidP="00000000" w:rsidRDefault="00000000" w:rsidRPr="00000000" w14:paraId="0000016B">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Encale del reporte Informe panorámico sobre vistas, usuarios y el tiempo de interacción medio por usuario.</w:t>
            </w:r>
          </w:p>
          <w:p w:rsidR="00000000" w:rsidDel="00000000" w:rsidP="00000000" w:rsidRDefault="00000000" w:rsidRPr="00000000" w14:paraId="0000016C">
            <w:pPr>
              <w:ind w:left="-708" w:firstLine="0"/>
              <w:jc w:val="both"/>
              <w:rPr>
                <w:rFonts w:ascii="Palatino Linotype" w:cs="Palatino Linotype" w:eastAsia="Palatino Linotype" w:hAnsi="Palatino Linotype"/>
              </w:rPr>
            </w:pPr>
            <w:bookmarkStart w:colFirst="0" w:colLast="0" w:name="_heading=h.hb3e933lcg33" w:id="2"/>
            <w:bookmarkEnd w:id="2"/>
            <w:hyperlink r:id="rId15">
              <w:r w:rsidDel="00000000" w:rsidR="00000000" w:rsidRPr="00000000">
                <w:rPr>
                  <w:rFonts w:ascii="Palatino Linotype" w:cs="Palatino Linotype" w:eastAsia="Palatino Linotype" w:hAnsi="Palatino Linotype"/>
                  <w:color w:val="0563c1"/>
                  <w:u w:val="single"/>
                  <w:rtl w:val="0"/>
                </w:rPr>
                <w:t xml:space="preserve">https://codhemorgmx-my.sharepoint.com/:b:/g/personal/rafael_garcia_codhem_org_mx/EYiQ-_qxzBFOsmbLWxStBMgBq1F8NhQ67KJlQE1r9mN-ww?e=OadxBU</w:t>
              </w:r>
            </w:hyperlink>
            <w:r w:rsidDel="00000000" w:rsidR="00000000" w:rsidRPr="00000000">
              <w:rPr>
                <w:rtl w:val="0"/>
              </w:rPr>
            </w:r>
          </w:p>
          <w:p w:rsidR="00000000" w:rsidDel="00000000" w:rsidP="00000000" w:rsidRDefault="00000000" w:rsidRPr="00000000" w14:paraId="0000016D">
            <w:pPr>
              <w:ind w:left="-708" w:firstLine="0"/>
              <w:jc w:val="both"/>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16E">
      <w:pPr>
        <w:ind w:left="-708" w:firstLine="0"/>
        <w:rPr>
          <w:rFonts w:ascii="Palatino Linotype" w:cs="Palatino Linotype" w:eastAsia="Palatino Linotype" w:hAnsi="Palatino Linotype"/>
          <w:b w:val="1"/>
        </w:rPr>
      </w:pPr>
      <w:r w:rsidDel="00000000" w:rsidR="00000000" w:rsidRPr="00000000">
        <w:rPr>
          <w:rtl w:val="0"/>
        </w:rPr>
      </w:r>
    </w:p>
    <w:tbl>
      <w:tblPr>
        <w:tblStyle w:val="Table13"/>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F">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18. En caso de ser una práctica que se presente por segunda ocasión, describa la innovación con la que cuenta para este ejercicio.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ind w:left="-685"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implementaron los informes en tiempo real del total de trámites que otorga esta Comisión de Derechos Humanos del Estado de México.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1">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p w:rsidR="00000000" w:rsidDel="00000000" w:rsidP="00000000" w:rsidRDefault="00000000" w:rsidRPr="00000000" w14:paraId="00000172">
            <w:pPr>
              <w:ind w:left="-708" w:firstLine="0"/>
              <w:rPr>
                <w:rFonts w:ascii="Palatino Linotype" w:cs="Palatino Linotype" w:eastAsia="Palatino Linotype" w:hAnsi="Palatino Linotype"/>
                <w:b w:val="1"/>
              </w:rPr>
            </w:pPr>
            <w:hyperlink r:id="rId16">
              <w:r w:rsidDel="00000000" w:rsidR="00000000" w:rsidRPr="00000000">
                <w:rPr>
                  <w:rFonts w:ascii="Palatino Linotype" w:cs="Palatino Linotype" w:eastAsia="Palatino Linotype" w:hAnsi="Palatino Linotype"/>
                  <w:b w:val="1"/>
                  <w:color w:val="0563c1"/>
                  <w:u w:val="single"/>
                  <w:rtl w:val="0"/>
                </w:rPr>
                <w:t xml:space="preserve">https://www.codhem.org.mx/transparencia-proactiva/</w:t>
              </w:r>
            </w:hyperlink>
            <w:r w:rsidDel="00000000" w:rsidR="00000000" w:rsidRPr="00000000">
              <w:rPr>
                <w:rtl w:val="0"/>
              </w:rPr>
            </w:r>
          </w:p>
        </w:tc>
      </w:tr>
    </w:tbl>
    <w:p w:rsidR="00000000" w:rsidDel="00000000" w:rsidP="00000000" w:rsidRDefault="00000000" w:rsidRPr="00000000" w14:paraId="00000173">
      <w:pPr>
        <w:rPr>
          <w:rFonts w:ascii="Palatino Linotype" w:cs="Palatino Linotype" w:eastAsia="Palatino Linotype" w:hAnsi="Palatino Linotype"/>
        </w:rPr>
      </w:pPr>
      <w:r w:rsidDel="00000000" w:rsidR="00000000" w:rsidRPr="00000000">
        <w:rPr>
          <w:rtl w:val="0"/>
        </w:rPr>
      </w:r>
    </w:p>
    <w:sectPr>
      <w:headerReference r:id="rId17" w:type="default"/>
      <w:footerReference r:id="rId18" w:type="default"/>
      <w:pgSz w:h="15840" w:w="12240" w:orient="portrait"/>
      <w:pgMar w:bottom="1985"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-1038222</wp:posOffset>
          </wp:positionH>
          <wp:positionV relativeFrom="paragraph">
            <wp:posOffset>-438147</wp:posOffset>
          </wp:positionV>
          <wp:extent cx="7762875" cy="10023158"/>
          <wp:effectExtent b="0" l="0" r="0" t="0"/>
          <wp:wrapNone/>
          <wp:docPr id="2779886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2875" cy="100231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5" w:hanging="360"/>
      </w:pPr>
      <w:rPr/>
    </w:lvl>
    <w:lvl w:ilvl="1">
      <w:start w:val="1"/>
      <w:numFmt w:val="lowerLetter"/>
      <w:lvlText w:val="%2."/>
      <w:lvlJc w:val="left"/>
      <w:pPr>
        <w:ind w:left="655" w:hanging="360"/>
      </w:pPr>
      <w:rPr/>
    </w:lvl>
    <w:lvl w:ilvl="2">
      <w:start w:val="1"/>
      <w:numFmt w:val="lowerRoman"/>
      <w:lvlText w:val="%3."/>
      <w:lvlJc w:val="right"/>
      <w:pPr>
        <w:ind w:left="1375" w:hanging="180"/>
      </w:pPr>
      <w:rPr/>
    </w:lvl>
    <w:lvl w:ilvl="3">
      <w:start w:val="1"/>
      <w:numFmt w:val="decimal"/>
      <w:lvlText w:val="%4."/>
      <w:lvlJc w:val="left"/>
      <w:pPr>
        <w:ind w:left="2095" w:hanging="360"/>
      </w:pPr>
      <w:rPr/>
    </w:lvl>
    <w:lvl w:ilvl="4">
      <w:start w:val="1"/>
      <w:numFmt w:val="lowerLetter"/>
      <w:lvlText w:val="%5."/>
      <w:lvlJc w:val="left"/>
      <w:pPr>
        <w:ind w:left="2815" w:hanging="360"/>
      </w:pPr>
      <w:rPr/>
    </w:lvl>
    <w:lvl w:ilvl="5">
      <w:start w:val="1"/>
      <w:numFmt w:val="lowerRoman"/>
      <w:lvlText w:val="%6."/>
      <w:lvlJc w:val="right"/>
      <w:pPr>
        <w:ind w:left="3535" w:hanging="180"/>
      </w:pPr>
      <w:rPr/>
    </w:lvl>
    <w:lvl w:ilvl="6">
      <w:start w:val="1"/>
      <w:numFmt w:val="decimal"/>
      <w:lvlText w:val="%7."/>
      <w:lvlJc w:val="left"/>
      <w:pPr>
        <w:ind w:left="4255" w:hanging="360"/>
      </w:pPr>
      <w:rPr/>
    </w:lvl>
    <w:lvl w:ilvl="7">
      <w:start w:val="1"/>
      <w:numFmt w:val="lowerLetter"/>
      <w:lvlText w:val="%8."/>
      <w:lvlJc w:val="left"/>
      <w:pPr>
        <w:ind w:left="4975" w:hanging="360"/>
      </w:pPr>
      <w:rPr/>
    </w:lvl>
    <w:lvl w:ilvl="8">
      <w:start w:val="1"/>
      <w:numFmt w:val="lowerRoman"/>
      <w:lvlText w:val="%9."/>
      <w:lvlJc w:val="right"/>
      <w:pPr>
        <w:ind w:left="5695" w:hanging="180"/>
      </w:pPr>
      <w:rPr/>
    </w:lvl>
  </w:abstractNum>
  <w:abstractNum w:abstractNumId="2">
    <w:lvl w:ilvl="0">
      <w:start w:val="1"/>
      <w:numFmt w:val="bullet"/>
      <w:lvlText w:val="●"/>
      <w:lvlJc w:val="left"/>
      <w:pPr>
        <w:ind w:left="294" w:hanging="360"/>
      </w:pPr>
      <w:rPr>
        <w:rFonts w:ascii="Noto Sans Symbols" w:cs="Noto Sans Symbols" w:eastAsia="Noto Sans Symbols" w:hAnsi="Noto Sans Symbols"/>
      </w:rPr>
    </w:lvl>
    <w:lvl w:ilvl="1">
      <w:start w:val="1"/>
      <w:numFmt w:val="bullet"/>
      <w:lvlText w:val="o"/>
      <w:lvlJc w:val="left"/>
      <w:pPr>
        <w:ind w:left="1014" w:hanging="360"/>
      </w:pPr>
      <w:rPr>
        <w:rFonts w:ascii="Courier New" w:cs="Courier New" w:eastAsia="Courier New" w:hAnsi="Courier New"/>
      </w:rPr>
    </w:lvl>
    <w:lvl w:ilvl="2">
      <w:start w:val="1"/>
      <w:numFmt w:val="bullet"/>
      <w:lvlText w:val="▪"/>
      <w:lvlJc w:val="left"/>
      <w:pPr>
        <w:ind w:left="1734" w:hanging="360"/>
      </w:pPr>
      <w:rPr>
        <w:rFonts w:ascii="Noto Sans Symbols" w:cs="Noto Sans Symbols" w:eastAsia="Noto Sans Symbols" w:hAnsi="Noto Sans Symbols"/>
      </w:rPr>
    </w:lvl>
    <w:lvl w:ilvl="3">
      <w:start w:val="1"/>
      <w:numFmt w:val="bullet"/>
      <w:lvlText w:val="●"/>
      <w:lvlJc w:val="left"/>
      <w:pPr>
        <w:ind w:left="2454" w:hanging="360"/>
      </w:pPr>
      <w:rPr>
        <w:rFonts w:ascii="Noto Sans Symbols" w:cs="Noto Sans Symbols" w:eastAsia="Noto Sans Symbols" w:hAnsi="Noto Sans Symbols"/>
      </w:rPr>
    </w:lvl>
    <w:lvl w:ilvl="4">
      <w:start w:val="1"/>
      <w:numFmt w:val="bullet"/>
      <w:lvlText w:val="o"/>
      <w:lvlJc w:val="left"/>
      <w:pPr>
        <w:ind w:left="3174" w:hanging="360"/>
      </w:pPr>
      <w:rPr>
        <w:rFonts w:ascii="Courier New" w:cs="Courier New" w:eastAsia="Courier New" w:hAnsi="Courier New"/>
      </w:rPr>
    </w:lvl>
    <w:lvl w:ilvl="5">
      <w:start w:val="1"/>
      <w:numFmt w:val="bullet"/>
      <w:lvlText w:val="▪"/>
      <w:lvlJc w:val="left"/>
      <w:pPr>
        <w:ind w:left="3894" w:hanging="360"/>
      </w:pPr>
      <w:rPr>
        <w:rFonts w:ascii="Noto Sans Symbols" w:cs="Noto Sans Symbols" w:eastAsia="Noto Sans Symbols" w:hAnsi="Noto Sans Symbols"/>
      </w:rPr>
    </w:lvl>
    <w:lvl w:ilvl="6">
      <w:start w:val="1"/>
      <w:numFmt w:val="bullet"/>
      <w:lvlText w:val="●"/>
      <w:lvlJc w:val="left"/>
      <w:pPr>
        <w:ind w:left="4614" w:hanging="360"/>
      </w:pPr>
      <w:rPr>
        <w:rFonts w:ascii="Noto Sans Symbols" w:cs="Noto Sans Symbols" w:eastAsia="Noto Sans Symbols" w:hAnsi="Noto Sans Symbols"/>
      </w:rPr>
    </w:lvl>
    <w:lvl w:ilvl="7">
      <w:start w:val="1"/>
      <w:numFmt w:val="bullet"/>
      <w:lvlText w:val="o"/>
      <w:lvlJc w:val="left"/>
      <w:pPr>
        <w:ind w:left="5334" w:hanging="360"/>
      </w:pPr>
      <w:rPr>
        <w:rFonts w:ascii="Courier New" w:cs="Courier New" w:eastAsia="Courier New" w:hAnsi="Courier New"/>
      </w:rPr>
    </w:lvl>
    <w:lvl w:ilvl="8">
      <w:start w:val="1"/>
      <w:numFmt w:val="bullet"/>
      <w:lvlText w:val="▪"/>
      <w:lvlJc w:val="left"/>
      <w:pPr>
        <w:ind w:left="6054" w:hanging="360"/>
      </w:pPr>
      <w:rPr>
        <w:rFonts w:ascii="Noto Sans Symbols" w:cs="Noto Sans Symbols" w:eastAsia="Noto Sans Symbols" w:hAnsi="Noto Sans Symbols"/>
      </w:rPr>
    </w:lvl>
  </w:abstractNum>
  <w:abstractNum w:abstractNumId="3">
    <w:lvl w:ilvl="0">
      <w:start w:val="1"/>
      <w:numFmt w:val="decimal"/>
      <w:lvlText w:val="%1."/>
      <w:lvlJc w:val="left"/>
      <w:pPr>
        <w:ind w:left="295" w:hanging="360"/>
      </w:pPr>
      <w:rPr/>
    </w:lvl>
    <w:lvl w:ilvl="1">
      <w:start w:val="1"/>
      <w:numFmt w:val="bullet"/>
      <w:lvlText w:val="o"/>
      <w:lvlJc w:val="left"/>
      <w:pPr>
        <w:ind w:left="1015" w:hanging="360"/>
      </w:pPr>
      <w:rPr>
        <w:rFonts w:ascii="Courier New" w:cs="Courier New" w:eastAsia="Courier New" w:hAnsi="Courier New"/>
      </w:rPr>
    </w:lvl>
    <w:lvl w:ilvl="2">
      <w:start w:val="1"/>
      <w:numFmt w:val="bullet"/>
      <w:lvlText w:val="▪"/>
      <w:lvlJc w:val="left"/>
      <w:pPr>
        <w:ind w:left="1735" w:hanging="360"/>
      </w:pPr>
      <w:rPr>
        <w:rFonts w:ascii="Noto Sans Symbols" w:cs="Noto Sans Symbols" w:eastAsia="Noto Sans Symbols" w:hAnsi="Noto Sans Symbols"/>
      </w:rPr>
    </w:lvl>
    <w:lvl w:ilvl="3">
      <w:start w:val="1"/>
      <w:numFmt w:val="bullet"/>
      <w:lvlText w:val="●"/>
      <w:lvlJc w:val="left"/>
      <w:pPr>
        <w:ind w:left="2455" w:hanging="360"/>
      </w:pPr>
      <w:rPr>
        <w:rFonts w:ascii="Noto Sans Symbols" w:cs="Noto Sans Symbols" w:eastAsia="Noto Sans Symbols" w:hAnsi="Noto Sans Symbols"/>
      </w:rPr>
    </w:lvl>
    <w:lvl w:ilvl="4">
      <w:start w:val="1"/>
      <w:numFmt w:val="bullet"/>
      <w:lvlText w:val="o"/>
      <w:lvlJc w:val="left"/>
      <w:pPr>
        <w:ind w:left="3175" w:hanging="360"/>
      </w:pPr>
      <w:rPr>
        <w:rFonts w:ascii="Courier New" w:cs="Courier New" w:eastAsia="Courier New" w:hAnsi="Courier New"/>
      </w:rPr>
    </w:lvl>
    <w:lvl w:ilvl="5">
      <w:start w:val="1"/>
      <w:numFmt w:val="bullet"/>
      <w:lvlText w:val="▪"/>
      <w:lvlJc w:val="left"/>
      <w:pPr>
        <w:ind w:left="3895" w:hanging="360"/>
      </w:pPr>
      <w:rPr>
        <w:rFonts w:ascii="Noto Sans Symbols" w:cs="Noto Sans Symbols" w:eastAsia="Noto Sans Symbols" w:hAnsi="Noto Sans Symbols"/>
      </w:rPr>
    </w:lvl>
    <w:lvl w:ilvl="6">
      <w:start w:val="1"/>
      <w:numFmt w:val="bullet"/>
      <w:lvlText w:val="●"/>
      <w:lvlJc w:val="left"/>
      <w:pPr>
        <w:ind w:left="4615" w:hanging="360"/>
      </w:pPr>
      <w:rPr>
        <w:rFonts w:ascii="Noto Sans Symbols" w:cs="Noto Sans Symbols" w:eastAsia="Noto Sans Symbols" w:hAnsi="Noto Sans Symbols"/>
      </w:rPr>
    </w:lvl>
    <w:lvl w:ilvl="7">
      <w:start w:val="1"/>
      <w:numFmt w:val="bullet"/>
      <w:lvlText w:val="o"/>
      <w:lvlJc w:val="left"/>
      <w:pPr>
        <w:ind w:left="5335" w:hanging="360"/>
      </w:pPr>
      <w:rPr>
        <w:rFonts w:ascii="Courier New" w:cs="Courier New" w:eastAsia="Courier New" w:hAnsi="Courier New"/>
      </w:rPr>
    </w:lvl>
    <w:lvl w:ilvl="8">
      <w:start w:val="1"/>
      <w:numFmt w:val="bullet"/>
      <w:lvlText w:val="▪"/>
      <w:lvlJc w:val="left"/>
      <w:pPr>
        <w:ind w:left="6055" w:hanging="360"/>
      </w:pPr>
      <w:rPr>
        <w:rFonts w:ascii="Noto Sans Symbols" w:cs="Noto Sans Symbols" w:eastAsia="Noto Sans Symbols" w:hAnsi="Noto Sans Symbols"/>
      </w:rPr>
    </w:lvl>
  </w:abstractNum>
  <w:abstractNum w:abstractNumId="4">
    <w:lvl w:ilvl="0">
      <w:start w:val="1"/>
      <w:numFmt w:val="bullet"/>
      <w:lvlText w:val="●"/>
      <w:lvlJc w:val="left"/>
      <w:pPr>
        <w:ind w:left="179" w:hanging="360"/>
      </w:pPr>
      <w:rPr>
        <w:rFonts w:ascii="Noto Sans Symbols" w:cs="Noto Sans Symbols" w:eastAsia="Noto Sans Symbols" w:hAnsi="Noto Sans Symbols"/>
      </w:rPr>
    </w:lvl>
    <w:lvl w:ilvl="1">
      <w:start w:val="1"/>
      <w:numFmt w:val="bullet"/>
      <w:lvlText w:val="o"/>
      <w:lvlJc w:val="left"/>
      <w:pPr>
        <w:ind w:left="899" w:hanging="360"/>
      </w:pPr>
      <w:rPr>
        <w:rFonts w:ascii="Courier New" w:cs="Courier New" w:eastAsia="Courier New" w:hAnsi="Courier New"/>
      </w:rPr>
    </w:lvl>
    <w:lvl w:ilvl="2">
      <w:start w:val="1"/>
      <w:numFmt w:val="bullet"/>
      <w:lvlText w:val="▪"/>
      <w:lvlJc w:val="left"/>
      <w:pPr>
        <w:ind w:left="1619" w:hanging="360"/>
      </w:pPr>
      <w:rPr>
        <w:rFonts w:ascii="Noto Sans Symbols" w:cs="Noto Sans Symbols" w:eastAsia="Noto Sans Symbols" w:hAnsi="Noto Sans Symbols"/>
      </w:rPr>
    </w:lvl>
    <w:lvl w:ilvl="3">
      <w:start w:val="1"/>
      <w:numFmt w:val="bullet"/>
      <w:lvlText w:val="●"/>
      <w:lvlJc w:val="left"/>
      <w:pPr>
        <w:ind w:left="2339" w:hanging="360"/>
      </w:pPr>
      <w:rPr>
        <w:rFonts w:ascii="Noto Sans Symbols" w:cs="Noto Sans Symbols" w:eastAsia="Noto Sans Symbols" w:hAnsi="Noto Sans Symbols"/>
      </w:rPr>
    </w:lvl>
    <w:lvl w:ilvl="4">
      <w:start w:val="1"/>
      <w:numFmt w:val="bullet"/>
      <w:lvlText w:val="o"/>
      <w:lvlJc w:val="left"/>
      <w:pPr>
        <w:ind w:left="3059" w:hanging="360"/>
      </w:pPr>
      <w:rPr>
        <w:rFonts w:ascii="Courier New" w:cs="Courier New" w:eastAsia="Courier New" w:hAnsi="Courier New"/>
      </w:rPr>
    </w:lvl>
    <w:lvl w:ilvl="5">
      <w:start w:val="1"/>
      <w:numFmt w:val="bullet"/>
      <w:lvlText w:val="▪"/>
      <w:lvlJc w:val="left"/>
      <w:pPr>
        <w:ind w:left="3779" w:hanging="360"/>
      </w:pPr>
      <w:rPr>
        <w:rFonts w:ascii="Noto Sans Symbols" w:cs="Noto Sans Symbols" w:eastAsia="Noto Sans Symbols" w:hAnsi="Noto Sans Symbols"/>
      </w:rPr>
    </w:lvl>
    <w:lvl w:ilvl="6">
      <w:start w:val="1"/>
      <w:numFmt w:val="bullet"/>
      <w:lvlText w:val="●"/>
      <w:lvlJc w:val="left"/>
      <w:pPr>
        <w:ind w:left="4499" w:hanging="360"/>
      </w:pPr>
      <w:rPr>
        <w:rFonts w:ascii="Noto Sans Symbols" w:cs="Noto Sans Symbols" w:eastAsia="Noto Sans Symbols" w:hAnsi="Noto Sans Symbols"/>
      </w:rPr>
    </w:lvl>
    <w:lvl w:ilvl="7">
      <w:start w:val="1"/>
      <w:numFmt w:val="bullet"/>
      <w:lvlText w:val="o"/>
      <w:lvlJc w:val="left"/>
      <w:pPr>
        <w:ind w:left="5219" w:hanging="360"/>
      </w:pPr>
      <w:rPr>
        <w:rFonts w:ascii="Courier New" w:cs="Courier New" w:eastAsia="Courier New" w:hAnsi="Courier New"/>
      </w:rPr>
    </w:lvl>
    <w:lvl w:ilvl="8">
      <w:start w:val="1"/>
      <w:numFmt w:val="bullet"/>
      <w:lvlText w:val="▪"/>
      <w:lvlJc w:val="left"/>
      <w:pPr>
        <w:ind w:left="593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c"/>
    <w:tblPr>
      <w:tblStyleRowBandSize w:val="1"/>
      <w:tblStyleColBandSize w:val="1"/>
      <w:tblCellMar>
        <w:top w:w="41.0" w:type="dxa"/>
        <w:left w:w="106.0" w:type="dxa"/>
        <w:right w:w="67.0" w:type="dxa"/>
      </w:tblCellMar>
    </w:tblPr>
  </w:style>
  <w:style w:type="table" w:styleId="a0" w:customStyle="1">
    <w:basedOn w:val="TableNormalc"/>
    <w:tblPr>
      <w:tblStyleRowBandSize w:val="1"/>
      <w:tblStyleColBandSize w:val="1"/>
      <w:tblCellMar>
        <w:top w:w="41.0" w:type="dxa"/>
        <w:left w:w="107.0" w:type="dxa"/>
        <w:right w:w="73.0" w:type="dxa"/>
      </w:tblCellMar>
    </w:tblPr>
  </w:style>
  <w:style w:type="table" w:styleId="a1" w:customStyle="1">
    <w:basedOn w:val="TableNormalc"/>
    <w:tblPr>
      <w:tblStyleRowBandSize w:val="1"/>
      <w:tblStyleColBandSize w:val="1"/>
      <w:tblCellMar>
        <w:top w:w="41.0" w:type="dxa"/>
        <w:right w:w="60.0" w:type="dxa"/>
      </w:tblCellMar>
    </w:tblPr>
  </w:style>
  <w:style w:type="table" w:styleId="a2" w:customStyle="1">
    <w:basedOn w:val="TableNormalc"/>
    <w:tblPr>
      <w:tblStyleRowBandSize w:val="1"/>
      <w:tblStyleColBandSize w:val="1"/>
      <w:tblCellMar>
        <w:top w:w="41.0" w:type="dxa"/>
        <w:right w:w="62.0" w:type="dxa"/>
      </w:tblCellMar>
    </w:tblPr>
  </w:style>
  <w:style w:type="table" w:styleId="a3" w:customStyle="1">
    <w:basedOn w:val="TableNormalc"/>
    <w:tblPr>
      <w:tblStyleRowBandSize w:val="1"/>
      <w:tblStyleColBandSize w:val="1"/>
      <w:tblCellMar>
        <w:top w:w="41.0" w:type="dxa"/>
        <w:left w:w="107.0" w:type="dxa"/>
        <w:right w:w="70.0" w:type="dxa"/>
      </w:tblCellMar>
    </w:tblPr>
  </w:style>
  <w:style w:type="table" w:styleId="a4" w:customStyle="1">
    <w:basedOn w:val="TableNormalc"/>
    <w:tblPr>
      <w:tblStyleRowBandSize w:val="1"/>
      <w:tblStyleColBandSize w:val="1"/>
      <w:tblCellMar>
        <w:top w:w="40.0" w:type="dxa"/>
        <w:right w:w="26.0" w:type="dxa"/>
      </w:tblCellMar>
    </w:tblPr>
  </w:style>
  <w:style w:type="table" w:styleId="a5" w:customStyle="1">
    <w:basedOn w:val="TableNormalc"/>
    <w:tblPr>
      <w:tblStyleRowBandSize w:val="1"/>
      <w:tblStyleColBandSize w:val="1"/>
      <w:tblCellMar>
        <w:top w:w="41.0" w:type="dxa"/>
        <w:left w:w="107.0" w:type="dxa"/>
        <w:right w:w="71.0" w:type="dxa"/>
      </w:tblCellMar>
    </w:tblPr>
  </w:style>
  <w:style w:type="table" w:styleId="a6" w:customStyle="1">
    <w:basedOn w:val="TableNormalc"/>
    <w:tblPr>
      <w:tblStyleRowBandSize w:val="1"/>
      <w:tblStyleColBandSize w:val="1"/>
      <w:tblCellMar>
        <w:top w:w="40.0" w:type="dxa"/>
        <w:right w:w="12.0" w:type="dxa"/>
      </w:tblCellMar>
    </w:tblPr>
  </w:style>
  <w:style w:type="table" w:styleId="a7" w:customStyle="1">
    <w:basedOn w:val="TableNormalc"/>
    <w:tblPr>
      <w:tblStyleRowBandSize w:val="1"/>
      <w:tblStyleColBandSize w:val="1"/>
      <w:tblCellMar>
        <w:top w:w="41.0" w:type="dxa"/>
        <w:left w:w="107.0" w:type="dxa"/>
        <w:right w:w="69.0" w:type="dxa"/>
      </w:tblCellMar>
    </w:tblPr>
  </w:style>
  <w:style w:type="table" w:styleId="a8" w:customStyle="1">
    <w:basedOn w:val="TableNormalc"/>
    <w:tblPr>
      <w:tblStyleRowBandSize w:val="1"/>
      <w:tblStyleColBandSize w:val="1"/>
      <w:tblCellMar>
        <w:top w:w="41.0" w:type="dxa"/>
        <w:left w:w="107.0" w:type="dxa"/>
        <w:right w:w="70.0" w:type="dxa"/>
      </w:tblCellMar>
    </w:tblPr>
  </w:style>
  <w:style w:type="table" w:styleId="a9" w:customStyle="1">
    <w:basedOn w:val="TableNormalc"/>
    <w:tblPr>
      <w:tblStyleRowBandSize w:val="1"/>
      <w:tblStyleColBandSize w:val="1"/>
      <w:tblCellMar>
        <w:top w:w="41.0" w:type="dxa"/>
        <w:left w:w="107.0" w:type="dxa"/>
        <w:right w:w="67.0" w:type="dxa"/>
      </w:tblCellMar>
    </w:tblPr>
  </w:style>
  <w:style w:type="table" w:styleId="aa" w:customStyle="1">
    <w:basedOn w:val="TableNormalc"/>
    <w:tblPr>
      <w:tblStyleRowBandSize w:val="1"/>
      <w:tblStyleColBandSize w:val="1"/>
      <w:tblCellMar>
        <w:top w:w="41.0" w:type="dxa"/>
        <w:left w:w="107.0" w:type="dxa"/>
        <w:right w:w="70.0" w:type="dxa"/>
      </w:tblCellMar>
    </w:tblPr>
  </w:style>
  <w:style w:type="table" w:styleId="ab" w:customStyle="1">
    <w:basedOn w:val="TableNormalc"/>
    <w:tblPr>
      <w:tblStyleRowBandSize w:val="1"/>
      <w:tblStyleColBandSize w:val="1"/>
      <w:tblCellMar>
        <w:top w:w="41.0" w:type="dxa"/>
        <w:left w:w="107.0" w:type="dxa"/>
        <w:right w:w="71.0" w:type="dxa"/>
      </w:tblCellMar>
    </w:tblPr>
  </w:style>
  <w:style w:type="table" w:styleId="ac" w:customStyle="1">
    <w:basedOn w:val="TableNormalc"/>
    <w:tblPr>
      <w:tblStyleRowBandSize w:val="1"/>
      <w:tblStyleColBandSize w:val="1"/>
      <w:tblCellMar>
        <w:top w:w="41.0" w:type="dxa"/>
        <w:left w:w="827.0" w:type="dxa"/>
        <w:right w:w="115.0" w:type="dxa"/>
      </w:tblCellMar>
    </w:tblPr>
  </w:style>
  <w:style w:type="table" w:styleId="ad" w:customStyle="1">
    <w:basedOn w:val="TableNormalc"/>
    <w:tblPr>
      <w:tblStyleRowBandSize w:val="1"/>
      <w:tblStyleColBandSize w:val="1"/>
      <w:tblCellMar>
        <w:top w:w="41.0" w:type="dxa"/>
        <w:left w:w="827.0" w:type="dxa"/>
        <w:right w:w="115.0" w:type="dxa"/>
      </w:tblCellMar>
    </w:tblPr>
  </w:style>
  <w:style w:type="table" w:styleId="ae" w:customStyle="1">
    <w:basedOn w:val="TableNormalc"/>
    <w:tblPr>
      <w:tblStyleRowBandSize w:val="1"/>
      <w:tblStyleColBandSize w:val="1"/>
      <w:tblCellMar>
        <w:top w:w="41.0" w:type="dxa"/>
        <w:left w:w="827.0" w:type="dxa"/>
        <w:right w:w="115.0" w:type="dxa"/>
      </w:tblCellMar>
    </w:tblPr>
  </w:style>
  <w:style w:type="table" w:styleId="af" w:customStyle="1">
    <w:basedOn w:val="TableNormalc"/>
    <w:tblPr>
      <w:tblStyleRowBandSize w:val="1"/>
      <w:tblStyleColBandSize w:val="1"/>
      <w:tblCellMar>
        <w:top w:w="41.0" w:type="dxa"/>
        <w:left w:w="827.0" w:type="dxa"/>
        <w:right w:w="115.0" w:type="dxa"/>
      </w:tblCellMar>
    </w:tblPr>
  </w:style>
  <w:style w:type="table" w:styleId="af0" w:customStyle="1">
    <w:basedOn w:val="TableNormalc"/>
    <w:tblPr>
      <w:tblStyleRowBandSize w:val="1"/>
      <w:tblStyleColBandSize w:val="1"/>
      <w:tblCellMar>
        <w:top w:w="41.0" w:type="dxa"/>
        <w:left w:w="827.0" w:type="dxa"/>
        <w:right w:w="115.0" w:type="dxa"/>
      </w:tblCellMar>
    </w:tblPr>
  </w:style>
  <w:style w:type="table" w:styleId="af1" w:customStyle="1">
    <w:basedOn w:val="TableNormalc"/>
    <w:tblPr>
      <w:tblStyleRowBandSize w:val="1"/>
      <w:tblStyleColBandSize w:val="1"/>
      <w:tblCellMar>
        <w:top w:w="41.0" w:type="dxa"/>
        <w:left w:w="827.0" w:type="dxa"/>
        <w:right w:w="115.0" w:type="dxa"/>
      </w:tblCellMar>
    </w:tblPr>
  </w:style>
  <w:style w:type="table" w:styleId="af2" w:customStyle="1">
    <w:basedOn w:val="TableNormalc"/>
    <w:tblPr>
      <w:tblStyleRowBandSize w:val="1"/>
      <w:tblStyleColBandSize w:val="1"/>
      <w:tblCellMar>
        <w:top w:w="41.0" w:type="dxa"/>
        <w:left w:w="827.0" w:type="dxa"/>
        <w:right w:w="115.0" w:type="dxa"/>
      </w:tblCellMar>
    </w:tblPr>
  </w:style>
  <w:style w:type="table" w:styleId="af3" w:customStyle="1">
    <w:basedOn w:val="TableNormalc"/>
    <w:tblPr>
      <w:tblStyleRowBandSize w:val="1"/>
      <w:tblStyleColBandSize w:val="1"/>
      <w:tblCellMar>
        <w:top w:w="41.0" w:type="dxa"/>
        <w:left w:w="827.0" w:type="dxa"/>
        <w:right w:w="115.0" w:type="dxa"/>
      </w:tblCellMar>
    </w:tblPr>
  </w:style>
  <w:style w:type="table" w:styleId="af4" w:customStyle="1">
    <w:basedOn w:val="TableNormalc"/>
    <w:tblPr>
      <w:tblStyleRowBandSize w:val="1"/>
      <w:tblStyleColBandSize w:val="1"/>
      <w:tblCellMar>
        <w:top w:w="41.0" w:type="dxa"/>
        <w:left w:w="827.0" w:type="dxa"/>
        <w:right w:w="115.0" w:type="dxa"/>
      </w:tblCellMar>
    </w:tblPr>
  </w:style>
  <w:style w:type="table" w:styleId="af5" w:customStyle="1">
    <w:basedOn w:val="TableNormalc"/>
    <w:tblPr>
      <w:tblStyleRowBandSize w:val="1"/>
      <w:tblStyleColBandSize w:val="1"/>
      <w:tblCellMar>
        <w:top w:w="41.0" w:type="dxa"/>
        <w:left w:w="827.0" w:type="dxa"/>
        <w:right w:w="115.0" w:type="dxa"/>
      </w:tblCellMar>
    </w:tblPr>
  </w:style>
  <w:style w:type="table" w:styleId="af6" w:customStyle="1">
    <w:basedOn w:val="TableNormalc"/>
    <w:tblPr>
      <w:tblStyleRowBandSize w:val="1"/>
      <w:tblStyleColBandSize w:val="1"/>
      <w:tblCellMar>
        <w:top w:w="41.0" w:type="dxa"/>
        <w:left w:w="827.0" w:type="dxa"/>
        <w:right w:w="115.0" w:type="dxa"/>
      </w:tblCellMar>
    </w:tblPr>
  </w:style>
  <w:style w:type="table" w:styleId="af7" w:customStyle="1">
    <w:basedOn w:val="TableNormalc"/>
    <w:tblPr>
      <w:tblStyleRowBandSize w:val="1"/>
      <w:tblStyleColBandSize w:val="1"/>
      <w:tblCellMar>
        <w:top w:w="41.0" w:type="dxa"/>
        <w:left w:w="827.0" w:type="dxa"/>
        <w:right w:w="115.0" w:type="dxa"/>
      </w:tblCellMar>
    </w:tblPr>
  </w:style>
  <w:style w:type="table" w:styleId="af8" w:customStyle="1">
    <w:basedOn w:val="TableNormalc"/>
    <w:tblPr>
      <w:tblStyleRowBandSize w:val="1"/>
      <w:tblStyleColBandSize w:val="1"/>
      <w:tblCellMar>
        <w:top w:w="41.0" w:type="dxa"/>
        <w:left w:w="827.0" w:type="dxa"/>
        <w:right w:w="115.0" w:type="dxa"/>
      </w:tblCellMar>
    </w:tblPr>
  </w:style>
  <w:style w:type="table" w:styleId="af9" w:customStyle="1">
    <w:basedOn w:val="TableNormalc"/>
    <w:tblPr>
      <w:tblStyleRowBandSize w:val="1"/>
      <w:tblStyleColBandSize w:val="1"/>
      <w:tblCellMar>
        <w:top w:w="41.0" w:type="dxa"/>
        <w:left w:w="827.0" w:type="dxa"/>
        <w:right w:w="115.0" w:type="dxa"/>
      </w:tblCellMar>
    </w:tblPr>
  </w:style>
  <w:style w:type="table" w:styleId="afa" w:customStyle="1">
    <w:basedOn w:val="TableNormalc"/>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b"/>
    <w:tblPr>
      <w:tblStyleRowBandSize w:val="1"/>
      <w:tblStyleColBandSize w:val="1"/>
      <w:tblCellMar>
        <w:top w:w="41.0" w:type="dxa"/>
        <w:left w:w="827.0" w:type="dxa"/>
        <w:right w:w="115.0" w:type="dxa"/>
      </w:tblCellMar>
    </w:tblPr>
  </w:style>
  <w:style w:type="table" w:styleId="afc" w:customStyle="1">
    <w:basedOn w:val="TableNormalb"/>
    <w:tblPr>
      <w:tblStyleRowBandSize w:val="1"/>
      <w:tblStyleColBandSize w:val="1"/>
      <w:tblCellMar>
        <w:top w:w="41.0" w:type="dxa"/>
        <w:left w:w="827.0" w:type="dxa"/>
        <w:right w:w="115.0" w:type="dxa"/>
      </w:tblCellMar>
    </w:tblPr>
  </w:style>
  <w:style w:type="table" w:styleId="afd" w:customStyle="1">
    <w:basedOn w:val="TableNormalb"/>
    <w:tblPr>
      <w:tblStyleRowBandSize w:val="1"/>
      <w:tblStyleColBandSize w:val="1"/>
      <w:tblCellMar>
        <w:top w:w="41.0" w:type="dxa"/>
        <w:left w:w="827.0" w:type="dxa"/>
        <w:right w:w="115.0" w:type="dxa"/>
      </w:tblCellMar>
    </w:tblPr>
  </w:style>
  <w:style w:type="table" w:styleId="afe" w:customStyle="1">
    <w:basedOn w:val="TableNormalb"/>
    <w:tblPr>
      <w:tblStyleRowBandSize w:val="1"/>
      <w:tblStyleColBandSize w:val="1"/>
      <w:tblCellMar>
        <w:top w:w="41.0" w:type="dxa"/>
        <w:left w:w="827.0" w:type="dxa"/>
        <w:right w:w="115.0" w:type="dxa"/>
      </w:tblCellMar>
    </w:tblPr>
  </w:style>
  <w:style w:type="table" w:styleId="aff" w:customStyle="1">
    <w:basedOn w:val="TableNormalb"/>
    <w:tblPr>
      <w:tblStyleRowBandSize w:val="1"/>
      <w:tblStyleColBandSize w:val="1"/>
      <w:tblCellMar>
        <w:top w:w="41.0" w:type="dxa"/>
        <w:left w:w="827.0" w:type="dxa"/>
        <w:right w:w="115.0" w:type="dxa"/>
      </w:tblCellMar>
    </w:tblPr>
  </w:style>
  <w:style w:type="table" w:styleId="aff0" w:customStyle="1">
    <w:basedOn w:val="TableNormalb"/>
    <w:tblPr>
      <w:tblStyleRowBandSize w:val="1"/>
      <w:tblStyleColBandSize w:val="1"/>
      <w:tblCellMar>
        <w:top w:w="41.0" w:type="dxa"/>
        <w:left w:w="827.0" w:type="dxa"/>
        <w:right w:w="115.0" w:type="dxa"/>
      </w:tblCellMar>
    </w:tblPr>
  </w:style>
  <w:style w:type="table" w:styleId="aff1" w:customStyle="1">
    <w:basedOn w:val="TableNormalb"/>
    <w:tblPr>
      <w:tblStyleRowBandSize w:val="1"/>
      <w:tblStyleColBandSize w:val="1"/>
      <w:tblCellMar>
        <w:top w:w="41.0" w:type="dxa"/>
        <w:left w:w="827.0" w:type="dxa"/>
        <w:right w:w="115.0" w:type="dxa"/>
      </w:tblCellMar>
    </w:tblPr>
  </w:style>
  <w:style w:type="table" w:styleId="aff2" w:customStyle="1">
    <w:basedOn w:val="TableNormalb"/>
    <w:tblPr>
      <w:tblStyleRowBandSize w:val="1"/>
      <w:tblStyleColBandSize w:val="1"/>
      <w:tblCellMar>
        <w:top w:w="41.0" w:type="dxa"/>
        <w:left w:w="827.0" w:type="dxa"/>
        <w:right w:w="115.0" w:type="dxa"/>
      </w:tblCellMar>
    </w:tblPr>
  </w:style>
  <w:style w:type="table" w:styleId="aff3" w:customStyle="1">
    <w:basedOn w:val="TableNormalb"/>
    <w:tblPr>
      <w:tblStyleRowBandSize w:val="1"/>
      <w:tblStyleColBandSize w:val="1"/>
      <w:tblCellMar>
        <w:top w:w="41.0" w:type="dxa"/>
        <w:left w:w="827.0" w:type="dxa"/>
        <w:right w:w="115.0" w:type="dxa"/>
      </w:tblCellMar>
    </w:tblPr>
  </w:style>
  <w:style w:type="table" w:styleId="aff4" w:customStyle="1">
    <w:basedOn w:val="TableNormalb"/>
    <w:tblPr>
      <w:tblStyleRowBandSize w:val="1"/>
      <w:tblStyleColBandSize w:val="1"/>
      <w:tblCellMar>
        <w:top w:w="41.0" w:type="dxa"/>
        <w:left w:w="827.0" w:type="dxa"/>
        <w:right w:w="115.0" w:type="dxa"/>
      </w:tblCellMar>
    </w:tblPr>
  </w:style>
  <w:style w:type="table" w:styleId="aff5" w:customStyle="1">
    <w:basedOn w:val="TableNormalb"/>
    <w:tblPr>
      <w:tblStyleRowBandSize w:val="1"/>
      <w:tblStyleColBandSize w:val="1"/>
      <w:tblCellMar>
        <w:top w:w="41.0" w:type="dxa"/>
        <w:left w:w="827.0" w:type="dxa"/>
        <w:right w:w="115.0" w:type="dxa"/>
      </w:tblCellMar>
    </w:tblPr>
  </w:style>
  <w:style w:type="table" w:styleId="aff6" w:customStyle="1">
    <w:basedOn w:val="TableNormalb"/>
    <w:tblPr>
      <w:tblStyleRowBandSize w:val="1"/>
      <w:tblStyleColBandSize w:val="1"/>
      <w:tblCellMar>
        <w:top w:w="41.0" w:type="dxa"/>
        <w:left w:w="827.0" w:type="dxa"/>
        <w:right w:w="115.0" w:type="dxa"/>
      </w:tblCellMar>
    </w:tblPr>
  </w:style>
  <w:style w:type="table" w:styleId="aff7" w:customStyle="1">
    <w:basedOn w:val="TableNormalb"/>
    <w:tblPr>
      <w:tblStyleRowBandSize w:val="1"/>
      <w:tblStyleColBandSize w:val="1"/>
      <w:tblCellMar>
        <w:top w:w="41.0" w:type="dxa"/>
        <w:left w:w="827.0" w:type="dxa"/>
        <w:right w:w="115.0" w:type="dxa"/>
      </w:tblCellMar>
    </w:tblPr>
  </w:style>
  <w:style w:type="table" w:styleId="aff8" w:customStyle="1">
    <w:basedOn w:val="TableNormalb"/>
    <w:tblPr>
      <w:tblStyleRowBandSize w:val="1"/>
      <w:tblStyleColBandSize w:val="1"/>
      <w:tblCellMar>
        <w:top w:w="41.0" w:type="dxa"/>
        <w:left w:w="827.0" w:type="dxa"/>
        <w:right w:w="115.0" w:type="dxa"/>
      </w:tblCellMar>
    </w:tblPr>
  </w:style>
  <w:style w:type="table" w:styleId="aff9" w:customStyle="1">
    <w:basedOn w:val="TableNormalb"/>
    <w:tblPr>
      <w:tblStyleRowBandSize w:val="1"/>
      <w:tblStyleColBandSize w:val="1"/>
      <w:tblCellMar>
        <w:top w:w="41.0" w:type="dxa"/>
        <w:left w:w="827.0" w:type="dxa"/>
        <w:right w:w="115.0" w:type="dxa"/>
      </w:tblCellMar>
    </w:tblPr>
  </w:style>
  <w:style w:type="table" w:styleId="affa" w:customStyle="1">
    <w:basedOn w:val="TableNormalb"/>
    <w:tblPr>
      <w:tblStyleRowBandSize w:val="1"/>
      <w:tblStyleColBandSize w:val="1"/>
      <w:tblCellMar>
        <w:top w:w="41.0" w:type="dxa"/>
        <w:left w:w="827.0" w:type="dxa"/>
        <w:right w:w="115.0" w:type="dxa"/>
      </w:tblCellMar>
    </w:tblPr>
  </w:style>
  <w:style w:type="table" w:styleId="affb" w:customStyle="1">
    <w:basedOn w:val="TableNormalb"/>
    <w:tblPr>
      <w:tblStyleRowBandSize w:val="1"/>
      <w:tblStyleColBandSize w:val="1"/>
      <w:tblCellMar>
        <w:top w:w="41.0" w:type="dxa"/>
        <w:left w:w="827.0" w:type="dxa"/>
        <w:right w:w="115.0" w:type="dxa"/>
      </w:tblCellMar>
    </w:tblPr>
  </w:style>
  <w:style w:type="table" w:styleId="affc" w:customStyle="1">
    <w:basedOn w:val="TableNormalb"/>
    <w:tblPr>
      <w:tblStyleRowBandSize w:val="1"/>
      <w:tblStyleColBandSize w:val="1"/>
      <w:tblCellMar>
        <w:top w:w="41.0" w:type="dxa"/>
        <w:left w:w="827.0" w:type="dxa"/>
        <w:right w:w="115.0" w:type="dxa"/>
      </w:tblCellMar>
    </w:tblPr>
  </w:style>
  <w:style w:type="table" w:styleId="affd" w:customStyle="1">
    <w:basedOn w:val="TableNormalb"/>
    <w:tblPr>
      <w:tblStyleRowBandSize w:val="1"/>
      <w:tblStyleColBandSize w:val="1"/>
      <w:tblCellMar>
        <w:top w:w="41.0" w:type="dxa"/>
        <w:left w:w="827.0" w:type="dxa"/>
        <w:right w:w="115.0" w:type="dxa"/>
      </w:tblCellMar>
    </w:tblPr>
  </w:style>
  <w:style w:type="table" w:styleId="affe" w:customStyle="1">
    <w:basedOn w:val="TableNormalb"/>
    <w:tblPr>
      <w:tblStyleRowBandSize w:val="1"/>
      <w:tblStyleColBandSize w:val="1"/>
      <w:tblCellMar>
        <w:top w:w="41.0" w:type="dxa"/>
        <w:left w:w="827.0" w:type="dxa"/>
        <w:right w:w="115.0" w:type="dxa"/>
      </w:tblCellMar>
    </w:tblPr>
  </w:style>
  <w:style w:type="table" w:styleId="afff" w:customStyle="1">
    <w:basedOn w:val="TableNormalb"/>
    <w:tblPr>
      <w:tblStyleRowBandSize w:val="1"/>
      <w:tblStyleColBandSize w:val="1"/>
      <w:tblCellMar>
        <w:top w:w="41.0" w:type="dxa"/>
        <w:left w:w="827.0" w:type="dxa"/>
        <w:right w:w="115.0" w:type="dxa"/>
      </w:tblCellMar>
    </w:tblPr>
  </w:style>
  <w:style w:type="table" w:styleId="afff0" w:customStyle="1">
    <w:basedOn w:val="TableNormalb"/>
    <w:tblPr>
      <w:tblStyleRowBandSize w:val="1"/>
      <w:tblStyleColBandSize w:val="1"/>
      <w:tblCellMar>
        <w:top w:w="41.0" w:type="dxa"/>
        <w:left w:w="827.0" w:type="dxa"/>
        <w:right w:w="115.0" w:type="dxa"/>
      </w:tblCellMar>
    </w:tblPr>
  </w:style>
  <w:style w:type="table" w:styleId="afff1" w:customStyle="1">
    <w:basedOn w:val="TableNormalb"/>
    <w:tblPr>
      <w:tblStyleRowBandSize w:val="1"/>
      <w:tblStyleColBandSize w:val="1"/>
      <w:tblCellMar>
        <w:top w:w="41.0" w:type="dxa"/>
        <w:left w:w="827.0" w:type="dxa"/>
        <w:right w:w="115.0" w:type="dxa"/>
      </w:tblCellMar>
    </w:tblPr>
  </w:style>
  <w:style w:type="table" w:styleId="afff2" w:customStyle="1">
    <w:basedOn w:val="TableNormalb"/>
    <w:tblPr>
      <w:tblStyleRowBandSize w:val="1"/>
      <w:tblStyleColBandSize w:val="1"/>
      <w:tblCellMar>
        <w:top w:w="41.0" w:type="dxa"/>
        <w:left w:w="827.0" w:type="dxa"/>
        <w:right w:w="115.0" w:type="dxa"/>
      </w:tblCellMar>
    </w:tblPr>
  </w:style>
  <w:style w:type="table" w:styleId="afff3" w:customStyle="1">
    <w:basedOn w:val="TableNormalb"/>
    <w:tblPr>
      <w:tblStyleRowBandSize w:val="1"/>
      <w:tblStyleColBandSize w:val="1"/>
      <w:tblCellMar>
        <w:top w:w="41.0" w:type="dxa"/>
        <w:left w:w="827.0" w:type="dxa"/>
        <w:right w:w="115.0" w:type="dxa"/>
      </w:tblCellMar>
    </w:tblPr>
  </w:style>
  <w:style w:type="table" w:styleId="afff4" w:customStyle="1">
    <w:basedOn w:val="TableNormalb"/>
    <w:tblPr>
      <w:tblStyleRowBandSize w:val="1"/>
      <w:tblStyleColBandSize w:val="1"/>
      <w:tblCellMar>
        <w:top w:w="41.0" w:type="dxa"/>
        <w:left w:w="827.0" w:type="dxa"/>
        <w:right w:w="115.0" w:type="dxa"/>
      </w:tblCellMar>
    </w:tblPr>
  </w:style>
  <w:style w:type="table" w:styleId="afff5" w:customStyle="1">
    <w:basedOn w:val="TableNormalb"/>
    <w:tblPr>
      <w:tblStyleRowBandSize w:val="1"/>
      <w:tblStyleColBandSize w:val="1"/>
      <w:tblCellMar>
        <w:top w:w="41.0" w:type="dxa"/>
        <w:left w:w="827.0" w:type="dxa"/>
        <w:right w:w="115.0" w:type="dxa"/>
      </w:tblCellMar>
    </w:tblPr>
  </w:style>
  <w:style w:type="table" w:styleId="afff6" w:customStyle="1">
    <w:basedOn w:val="TableNormalb"/>
    <w:tblPr>
      <w:tblStyleRowBandSize w:val="1"/>
      <w:tblStyleColBandSize w:val="1"/>
      <w:tblCellMar>
        <w:top w:w="41.0" w:type="dxa"/>
        <w:left w:w="827.0" w:type="dxa"/>
        <w:right w:w="115.0" w:type="dxa"/>
      </w:tblCellMar>
    </w:tblPr>
  </w:style>
  <w:style w:type="table" w:styleId="afff7" w:customStyle="1">
    <w:basedOn w:val="TableNormal9"/>
    <w:tblPr>
      <w:tblStyleRowBandSize w:val="1"/>
      <w:tblStyleColBandSize w:val="1"/>
      <w:tblCellMar>
        <w:top w:w="41.0" w:type="dxa"/>
        <w:left w:w="827.0" w:type="dxa"/>
        <w:right w:w="115.0" w:type="dxa"/>
      </w:tblCellMar>
    </w:tblPr>
  </w:style>
  <w:style w:type="table" w:styleId="afff8" w:customStyle="1">
    <w:basedOn w:val="TableNormal9"/>
    <w:tblPr>
      <w:tblStyleRowBandSize w:val="1"/>
      <w:tblStyleColBandSize w:val="1"/>
      <w:tblCellMar>
        <w:top w:w="41.0" w:type="dxa"/>
        <w:left w:w="827.0" w:type="dxa"/>
        <w:right w:w="115.0" w:type="dxa"/>
      </w:tblCellMar>
    </w:tblPr>
  </w:style>
  <w:style w:type="table" w:styleId="afff9" w:customStyle="1">
    <w:basedOn w:val="TableNormal9"/>
    <w:tblPr>
      <w:tblStyleRowBandSize w:val="1"/>
      <w:tblStyleColBandSize w:val="1"/>
      <w:tblCellMar>
        <w:top w:w="41.0" w:type="dxa"/>
        <w:left w:w="827.0" w:type="dxa"/>
        <w:right w:w="115.0" w:type="dxa"/>
      </w:tblCellMar>
    </w:tblPr>
  </w:style>
  <w:style w:type="table" w:styleId="afffa" w:customStyle="1">
    <w:basedOn w:val="TableNormal9"/>
    <w:tblPr>
      <w:tblStyleRowBandSize w:val="1"/>
      <w:tblStyleColBandSize w:val="1"/>
      <w:tblCellMar>
        <w:top w:w="41.0" w:type="dxa"/>
        <w:left w:w="827.0" w:type="dxa"/>
        <w:right w:w="115.0" w:type="dxa"/>
      </w:tblCellMar>
    </w:tblPr>
  </w:style>
  <w:style w:type="table" w:styleId="afffb" w:customStyle="1">
    <w:basedOn w:val="TableNormal9"/>
    <w:tblPr>
      <w:tblStyleRowBandSize w:val="1"/>
      <w:tblStyleColBandSize w:val="1"/>
      <w:tblCellMar>
        <w:top w:w="41.0" w:type="dxa"/>
        <w:left w:w="827.0" w:type="dxa"/>
        <w:right w:w="115.0" w:type="dxa"/>
      </w:tblCellMar>
    </w:tblPr>
  </w:style>
  <w:style w:type="table" w:styleId="afffc" w:customStyle="1">
    <w:basedOn w:val="TableNormal9"/>
    <w:tblPr>
      <w:tblStyleRowBandSize w:val="1"/>
      <w:tblStyleColBandSize w:val="1"/>
      <w:tblCellMar>
        <w:top w:w="41.0" w:type="dxa"/>
        <w:left w:w="827.0" w:type="dxa"/>
        <w:right w:w="115.0" w:type="dxa"/>
      </w:tblCellMar>
    </w:tblPr>
  </w:style>
  <w:style w:type="table" w:styleId="afffd" w:customStyle="1">
    <w:basedOn w:val="TableNormal9"/>
    <w:tblPr>
      <w:tblStyleRowBandSize w:val="1"/>
      <w:tblStyleColBandSize w:val="1"/>
      <w:tblCellMar>
        <w:top w:w="41.0" w:type="dxa"/>
        <w:left w:w="827.0" w:type="dxa"/>
        <w:right w:w="115.0" w:type="dxa"/>
      </w:tblCellMar>
    </w:tblPr>
  </w:style>
  <w:style w:type="table" w:styleId="afffe" w:customStyle="1">
    <w:basedOn w:val="TableNormal9"/>
    <w:tblPr>
      <w:tblStyleRowBandSize w:val="1"/>
      <w:tblStyleColBandSize w:val="1"/>
      <w:tblCellMar>
        <w:top w:w="41.0" w:type="dxa"/>
        <w:left w:w="827.0" w:type="dxa"/>
        <w:right w:w="115.0" w:type="dxa"/>
      </w:tblCellMar>
    </w:tblPr>
  </w:style>
  <w:style w:type="table" w:styleId="affff" w:customStyle="1">
    <w:basedOn w:val="TableNormal9"/>
    <w:tblPr>
      <w:tblStyleRowBandSize w:val="1"/>
      <w:tblStyleColBandSize w:val="1"/>
      <w:tblCellMar>
        <w:top w:w="41.0" w:type="dxa"/>
        <w:left w:w="827.0" w:type="dxa"/>
        <w:right w:w="115.0" w:type="dxa"/>
      </w:tblCellMar>
    </w:tblPr>
  </w:style>
  <w:style w:type="table" w:styleId="affff0" w:customStyle="1">
    <w:basedOn w:val="TableNormal9"/>
    <w:tblPr>
      <w:tblStyleRowBandSize w:val="1"/>
      <w:tblStyleColBandSize w:val="1"/>
      <w:tblCellMar>
        <w:top w:w="41.0" w:type="dxa"/>
        <w:left w:w="827.0" w:type="dxa"/>
        <w:right w:w="115.0" w:type="dxa"/>
      </w:tblCellMar>
    </w:tblPr>
  </w:style>
  <w:style w:type="table" w:styleId="affff1" w:customStyle="1">
    <w:basedOn w:val="TableNormal9"/>
    <w:tblPr>
      <w:tblStyleRowBandSize w:val="1"/>
      <w:tblStyleColBandSize w:val="1"/>
      <w:tblCellMar>
        <w:top w:w="41.0" w:type="dxa"/>
        <w:left w:w="827.0" w:type="dxa"/>
        <w:right w:w="115.0" w:type="dxa"/>
      </w:tblCellMar>
    </w:tblPr>
  </w:style>
  <w:style w:type="table" w:styleId="affff2" w:customStyle="1">
    <w:basedOn w:val="TableNormal9"/>
    <w:tblPr>
      <w:tblStyleRowBandSize w:val="1"/>
      <w:tblStyleColBandSize w:val="1"/>
      <w:tblCellMar>
        <w:top w:w="41.0" w:type="dxa"/>
        <w:left w:w="827.0" w:type="dxa"/>
        <w:right w:w="115.0" w:type="dxa"/>
      </w:tblCellMar>
    </w:tblPr>
  </w:style>
  <w:style w:type="table" w:styleId="affff3" w:customStyle="1">
    <w:basedOn w:val="TableNormal9"/>
    <w:tblPr>
      <w:tblStyleRowBandSize w:val="1"/>
      <w:tblStyleColBandSize w:val="1"/>
      <w:tblCellMar>
        <w:top w:w="41.0" w:type="dxa"/>
        <w:left w:w="827.0" w:type="dxa"/>
        <w:right w:w="115.0" w:type="dxa"/>
      </w:tblCellMar>
    </w:tblPr>
  </w:style>
  <w:style w:type="table" w:styleId="affff4" w:customStyle="1">
    <w:basedOn w:val="TableNormal9"/>
    <w:tblPr>
      <w:tblStyleRowBandSize w:val="1"/>
      <w:tblStyleColBandSize w:val="1"/>
      <w:tblCellMar>
        <w:top w:w="41.0" w:type="dxa"/>
        <w:left w:w="827.0" w:type="dxa"/>
        <w:right w:w="115.0" w:type="dxa"/>
      </w:tblCellMar>
    </w:tblPr>
  </w:style>
  <w:style w:type="table" w:styleId="affff5" w:customStyle="1">
    <w:basedOn w:val="TableNormal9"/>
    <w:tblPr>
      <w:tblStyleRowBandSize w:val="1"/>
      <w:tblStyleColBandSize w:val="1"/>
      <w:tblCellMar>
        <w:top w:w="41.0" w:type="dxa"/>
        <w:left w:w="827.0" w:type="dxa"/>
        <w:right w:w="115.0" w:type="dxa"/>
      </w:tblCellMar>
    </w:tblPr>
  </w:style>
  <w:style w:type="table" w:styleId="affff6" w:customStyle="1">
    <w:basedOn w:val="TableNormal9"/>
    <w:tblPr>
      <w:tblStyleRowBandSize w:val="1"/>
      <w:tblStyleColBandSize w:val="1"/>
      <w:tblCellMar>
        <w:top w:w="41.0" w:type="dxa"/>
        <w:left w:w="827.0" w:type="dxa"/>
        <w:right w:w="115.0" w:type="dxa"/>
      </w:tblCellMar>
    </w:tblPr>
  </w:style>
  <w:style w:type="table" w:styleId="affff7" w:customStyle="1">
    <w:basedOn w:val="TableNormal9"/>
    <w:tblPr>
      <w:tblStyleRowBandSize w:val="1"/>
      <w:tblStyleColBandSize w:val="1"/>
      <w:tblCellMar>
        <w:top w:w="41.0" w:type="dxa"/>
        <w:left w:w="827.0" w:type="dxa"/>
        <w:right w:w="115.0" w:type="dxa"/>
      </w:tblCellMar>
    </w:tblPr>
  </w:style>
  <w:style w:type="table" w:styleId="affff8" w:customStyle="1">
    <w:basedOn w:val="TableNormal9"/>
    <w:tblPr>
      <w:tblStyleRowBandSize w:val="1"/>
      <w:tblStyleColBandSize w:val="1"/>
      <w:tblCellMar>
        <w:top w:w="41.0" w:type="dxa"/>
        <w:left w:w="827.0" w:type="dxa"/>
        <w:right w:w="115.0" w:type="dxa"/>
      </w:tblCellMar>
    </w:tblPr>
  </w:style>
  <w:style w:type="table" w:styleId="affff9" w:customStyle="1">
    <w:basedOn w:val="TableNormal9"/>
    <w:tblPr>
      <w:tblStyleRowBandSize w:val="1"/>
      <w:tblStyleColBandSize w:val="1"/>
      <w:tblCellMar>
        <w:top w:w="41.0" w:type="dxa"/>
        <w:left w:w="827.0" w:type="dxa"/>
        <w:right w:w="115.0" w:type="dxa"/>
      </w:tblCellMar>
    </w:tblPr>
  </w:style>
  <w:style w:type="table" w:styleId="affffa" w:customStyle="1">
    <w:basedOn w:val="TableNormal9"/>
    <w:tblPr>
      <w:tblStyleRowBandSize w:val="1"/>
      <w:tblStyleColBandSize w:val="1"/>
      <w:tblCellMar>
        <w:top w:w="41.0" w:type="dxa"/>
        <w:left w:w="827.0" w:type="dxa"/>
        <w:right w:w="115.0" w:type="dxa"/>
      </w:tblCellMar>
    </w:tblPr>
  </w:style>
  <w:style w:type="table" w:styleId="affffb" w:customStyle="1">
    <w:basedOn w:val="TableNormal9"/>
    <w:tblPr>
      <w:tblStyleRowBandSize w:val="1"/>
      <w:tblStyleColBandSize w:val="1"/>
      <w:tblCellMar>
        <w:top w:w="41.0" w:type="dxa"/>
        <w:left w:w="827.0" w:type="dxa"/>
        <w:right w:w="115.0" w:type="dxa"/>
      </w:tblCellMar>
    </w:tblPr>
  </w:style>
  <w:style w:type="table" w:styleId="affffc" w:customStyle="1">
    <w:basedOn w:val="TableNormal9"/>
    <w:tblPr>
      <w:tblStyleRowBandSize w:val="1"/>
      <w:tblStyleColBandSize w:val="1"/>
      <w:tblCellMar>
        <w:top w:w="41.0" w:type="dxa"/>
        <w:left w:w="827.0" w:type="dxa"/>
        <w:right w:w="115.0" w:type="dxa"/>
      </w:tblCellMar>
    </w:tblPr>
  </w:style>
  <w:style w:type="table" w:styleId="affffd" w:customStyle="1">
    <w:basedOn w:val="TableNormal9"/>
    <w:tblPr>
      <w:tblStyleRowBandSize w:val="1"/>
      <w:tblStyleColBandSize w:val="1"/>
      <w:tblCellMar>
        <w:top w:w="41.0" w:type="dxa"/>
        <w:left w:w="827.0" w:type="dxa"/>
        <w:right w:w="115.0" w:type="dxa"/>
      </w:tblCellMar>
    </w:tblPr>
  </w:style>
  <w:style w:type="table" w:styleId="affffe" w:customStyle="1">
    <w:basedOn w:val="TableNormal9"/>
    <w:tblPr>
      <w:tblStyleRowBandSize w:val="1"/>
      <w:tblStyleColBandSize w:val="1"/>
      <w:tblCellMar>
        <w:top w:w="41.0" w:type="dxa"/>
        <w:left w:w="827.0" w:type="dxa"/>
        <w:right w:w="115.0" w:type="dxa"/>
      </w:tblCellMar>
    </w:tblPr>
  </w:style>
  <w:style w:type="table" w:styleId="afffff" w:customStyle="1">
    <w:basedOn w:val="TableNormal9"/>
    <w:tblPr>
      <w:tblStyleRowBandSize w:val="1"/>
      <w:tblStyleColBandSize w:val="1"/>
      <w:tblCellMar>
        <w:top w:w="41.0" w:type="dxa"/>
        <w:left w:w="827.0" w:type="dxa"/>
        <w:right w:w="115.0" w:type="dxa"/>
      </w:tblCellMar>
    </w:tblPr>
  </w:style>
  <w:style w:type="table" w:styleId="afffff0" w:customStyle="1">
    <w:basedOn w:val="TableNormal9"/>
    <w:tblPr>
      <w:tblStyleRowBandSize w:val="1"/>
      <w:tblStyleColBandSize w:val="1"/>
      <w:tblCellMar>
        <w:top w:w="41.0" w:type="dxa"/>
        <w:left w:w="827.0" w:type="dxa"/>
        <w:right w:w="115.0" w:type="dxa"/>
      </w:tblCellMar>
    </w:tblPr>
  </w:style>
  <w:style w:type="table" w:styleId="afffff1" w:customStyle="1">
    <w:basedOn w:val="TableNormal9"/>
    <w:tblPr>
      <w:tblStyleRowBandSize w:val="1"/>
      <w:tblStyleColBandSize w:val="1"/>
      <w:tblCellMar>
        <w:top w:w="41.0" w:type="dxa"/>
        <w:left w:w="827.0" w:type="dxa"/>
        <w:right w:w="115.0" w:type="dxa"/>
      </w:tblCellMar>
    </w:tblPr>
  </w:style>
  <w:style w:type="table" w:styleId="afffff2" w:customStyle="1">
    <w:basedOn w:val="TableNormal9"/>
    <w:tblPr>
      <w:tblStyleRowBandSize w:val="1"/>
      <w:tblStyleColBandSize w:val="1"/>
      <w:tblCellMar>
        <w:top w:w="41.0" w:type="dxa"/>
        <w:left w:w="827.0" w:type="dxa"/>
        <w:right w:w="115.0" w:type="dxa"/>
      </w:tblCellMar>
    </w:tblPr>
  </w:style>
  <w:style w:type="table" w:styleId="afffff3" w:customStyle="1">
    <w:basedOn w:val="TableNormal9"/>
    <w:tblPr>
      <w:tblStyleRowBandSize w:val="1"/>
      <w:tblStyleColBandSize w:val="1"/>
      <w:tblCellMar>
        <w:top w:w="41.0" w:type="dxa"/>
        <w:left w:w="827.0" w:type="dxa"/>
        <w:right w:w="115.0" w:type="dxa"/>
      </w:tblCellMar>
    </w:tblPr>
  </w:style>
  <w:style w:type="table" w:styleId="afffff4" w:customStyle="1">
    <w:basedOn w:val="TableNormal9"/>
    <w:tblPr>
      <w:tblStyleRowBandSize w:val="1"/>
      <w:tblStyleColBandSize w:val="1"/>
      <w:tblCellMar>
        <w:top w:w="41.0" w:type="dxa"/>
        <w:left w:w="827.0" w:type="dxa"/>
        <w:right w:w="115.0" w:type="dxa"/>
      </w:tblCellMar>
    </w:tblPr>
  </w:style>
  <w:style w:type="table" w:styleId="afffff5" w:customStyle="1">
    <w:basedOn w:val="TableNormal9"/>
    <w:tblPr>
      <w:tblStyleRowBandSize w:val="1"/>
      <w:tblStyleColBandSize w:val="1"/>
      <w:tblCellMar>
        <w:top w:w="41.0" w:type="dxa"/>
        <w:left w:w="827.0" w:type="dxa"/>
        <w:right w:w="115.0" w:type="dxa"/>
      </w:tblCellMar>
    </w:tblPr>
  </w:style>
  <w:style w:type="table" w:styleId="afffff6" w:customStyle="1">
    <w:basedOn w:val="TableNormal9"/>
    <w:tblPr>
      <w:tblStyleRowBandSize w:val="1"/>
      <w:tblStyleColBandSize w:val="1"/>
      <w:tblCellMar>
        <w:top w:w="41.0" w:type="dxa"/>
        <w:left w:w="827.0" w:type="dxa"/>
        <w:right w:w="115.0" w:type="dxa"/>
      </w:tblCellMar>
    </w:tblPr>
  </w:style>
  <w:style w:type="table" w:styleId="afffff7" w:customStyle="1">
    <w:basedOn w:val="TableNormal9"/>
    <w:tblPr>
      <w:tblStyleRowBandSize w:val="1"/>
      <w:tblStyleColBandSize w:val="1"/>
      <w:tblCellMar>
        <w:top w:w="41.0" w:type="dxa"/>
        <w:left w:w="827.0" w:type="dxa"/>
        <w:right w:w="115.0" w:type="dxa"/>
      </w:tblCellMar>
    </w:tblPr>
  </w:style>
  <w:style w:type="table" w:styleId="afffff8" w:customStyle="1">
    <w:basedOn w:val="TableNormal9"/>
    <w:tblPr>
      <w:tblStyleRowBandSize w:val="1"/>
      <w:tblStyleColBandSize w:val="1"/>
      <w:tblCellMar>
        <w:top w:w="41.0" w:type="dxa"/>
        <w:left w:w="827.0" w:type="dxa"/>
        <w:right w:w="115.0" w:type="dxa"/>
      </w:tblCellMar>
    </w:tblPr>
  </w:style>
  <w:style w:type="table" w:styleId="afffff9" w:customStyle="1">
    <w:basedOn w:val="TableNormal9"/>
    <w:tblPr>
      <w:tblStyleRowBandSize w:val="1"/>
      <w:tblStyleColBandSize w:val="1"/>
      <w:tblCellMar>
        <w:top w:w="41.0" w:type="dxa"/>
        <w:left w:w="827.0" w:type="dxa"/>
        <w:right w:w="115.0" w:type="dxa"/>
      </w:tblCellMar>
    </w:tblPr>
  </w:style>
  <w:style w:type="table" w:styleId="afffffa" w:customStyle="1">
    <w:basedOn w:val="TableNormal9"/>
    <w:tblPr>
      <w:tblStyleRowBandSize w:val="1"/>
      <w:tblStyleColBandSize w:val="1"/>
      <w:tblCellMar>
        <w:top w:w="41.0" w:type="dxa"/>
        <w:left w:w="827.0" w:type="dxa"/>
        <w:right w:w="115.0" w:type="dxa"/>
      </w:tblCellMar>
    </w:tblPr>
  </w:style>
  <w:style w:type="table" w:styleId="afffffb" w:customStyle="1">
    <w:basedOn w:val="TableNormal9"/>
    <w:tblPr>
      <w:tblStyleRowBandSize w:val="1"/>
      <w:tblStyleColBandSize w:val="1"/>
      <w:tblCellMar>
        <w:top w:w="41.0" w:type="dxa"/>
        <w:left w:w="827.0" w:type="dxa"/>
        <w:right w:w="115.0" w:type="dxa"/>
      </w:tblCellMar>
    </w:tblPr>
  </w:style>
  <w:style w:type="table" w:styleId="afffffc" w:customStyle="1">
    <w:basedOn w:val="TableNormal9"/>
    <w:tblPr>
      <w:tblStyleRowBandSize w:val="1"/>
      <w:tblStyleColBandSize w:val="1"/>
      <w:tblCellMar>
        <w:top w:w="41.0" w:type="dxa"/>
        <w:left w:w="827.0" w:type="dxa"/>
        <w:right w:w="115.0" w:type="dxa"/>
      </w:tblCellMar>
    </w:tblPr>
  </w:style>
  <w:style w:type="table" w:styleId="afffffd" w:customStyle="1">
    <w:basedOn w:val="TableNormal9"/>
    <w:tblPr>
      <w:tblStyleRowBandSize w:val="1"/>
      <w:tblStyleColBandSize w:val="1"/>
      <w:tblCellMar>
        <w:top w:w="41.0" w:type="dxa"/>
        <w:left w:w="827.0" w:type="dxa"/>
        <w:right w:w="115.0" w:type="dxa"/>
      </w:tblCellMar>
    </w:tblPr>
  </w:style>
  <w:style w:type="table" w:styleId="afffffe" w:customStyle="1">
    <w:basedOn w:val="TableNormal9"/>
    <w:tblPr>
      <w:tblStyleRowBandSize w:val="1"/>
      <w:tblStyleColBandSize w:val="1"/>
      <w:tblCellMar>
        <w:top w:w="41.0" w:type="dxa"/>
        <w:left w:w="827.0" w:type="dxa"/>
        <w:right w:w="115.0" w:type="dxa"/>
      </w:tblCellMar>
    </w:tblPr>
  </w:style>
  <w:style w:type="table" w:styleId="affffff" w:customStyle="1">
    <w:basedOn w:val="TableNormal9"/>
    <w:tblPr>
      <w:tblStyleRowBandSize w:val="1"/>
      <w:tblStyleColBandSize w:val="1"/>
      <w:tblCellMar>
        <w:top w:w="41.0" w:type="dxa"/>
        <w:left w:w="827.0" w:type="dxa"/>
        <w:right w:w="115.0" w:type="dxa"/>
      </w:tblCellMar>
    </w:tblPr>
  </w:style>
  <w:style w:type="table" w:styleId="affffff0" w:customStyle="1">
    <w:basedOn w:val="TableNormal6"/>
    <w:tblPr>
      <w:tblStyleRowBandSize w:val="1"/>
      <w:tblStyleColBandSize w:val="1"/>
      <w:tblCellMar>
        <w:top w:w="41.0" w:type="dxa"/>
        <w:left w:w="827.0" w:type="dxa"/>
        <w:right w:w="115.0" w:type="dxa"/>
      </w:tblCellMar>
    </w:tblPr>
  </w:style>
  <w:style w:type="table" w:styleId="affffff1" w:customStyle="1">
    <w:basedOn w:val="TableNormal6"/>
    <w:tblPr>
      <w:tblStyleRowBandSize w:val="1"/>
      <w:tblStyleColBandSize w:val="1"/>
      <w:tblCellMar>
        <w:top w:w="41.0" w:type="dxa"/>
        <w:left w:w="827.0" w:type="dxa"/>
        <w:right w:w="115.0" w:type="dxa"/>
      </w:tblCellMar>
    </w:tblPr>
  </w:style>
  <w:style w:type="table" w:styleId="affffff2" w:customStyle="1">
    <w:basedOn w:val="TableNormal6"/>
    <w:tblPr>
      <w:tblStyleRowBandSize w:val="1"/>
      <w:tblStyleColBandSize w:val="1"/>
      <w:tblCellMar>
        <w:top w:w="41.0" w:type="dxa"/>
        <w:left w:w="827.0" w:type="dxa"/>
        <w:right w:w="115.0" w:type="dxa"/>
      </w:tblCellMar>
    </w:tblPr>
  </w:style>
  <w:style w:type="table" w:styleId="affffff3" w:customStyle="1">
    <w:basedOn w:val="TableNormal6"/>
    <w:tblPr>
      <w:tblStyleRowBandSize w:val="1"/>
      <w:tblStyleColBandSize w:val="1"/>
      <w:tblCellMar>
        <w:top w:w="41.0" w:type="dxa"/>
        <w:left w:w="827.0" w:type="dxa"/>
        <w:right w:w="115.0" w:type="dxa"/>
      </w:tblCellMar>
    </w:tblPr>
  </w:style>
  <w:style w:type="table" w:styleId="affffff4" w:customStyle="1">
    <w:basedOn w:val="TableNormal6"/>
    <w:tblPr>
      <w:tblStyleRowBandSize w:val="1"/>
      <w:tblStyleColBandSize w:val="1"/>
      <w:tblCellMar>
        <w:top w:w="41.0" w:type="dxa"/>
        <w:left w:w="827.0" w:type="dxa"/>
        <w:right w:w="115.0" w:type="dxa"/>
      </w:tblCellMar>
    </w:tblPr>
  </w:style>
  <w:style w:type="table" w:styleId="affffff5" w:customStyle="1">
    <w:basedOn w:val="TableNormal6"/>
    <w:tblPr>
      <w:tblStyleRowBandSize w:val="1"/>
      <w:tblStyleColBandSize w:val="1"/>
      <w:tblCellMar>
        <w:top w:w="41.0" w:type="dxa"/>
        <w:left w:w="827.0" w:type="dxa"/>
        <w:right w:w="115.0" w:type="dxa"/>
      </w:tblCellMar>
    </w:tblPr>
  </w:style>
  <w:style w:type="table" w:styleId="affffff6" w:customStyle="1">
    <w:basedOn w:val="TableNormal6"/>
    <w:tblPr>
      <w:tblStyleRowBandSize w:val="1"/>
      <w:tblStyleColBandSize w:val="1"/>
      <w:tblCellMar>
        <w:top w:w="41.0" w:type="dxa"/>
        <w:left w:w="827.0" w:type="dxa"/>
        <w:right w:w="115.0" w:type="dxa"/>
      </w:tblCellMar>
    </w:tblPr>
  </w:style>
  <w:style w:type="table" w:styleId="affffff7" w:customStyle="1">
    <w:basedOn w:val="TableNormal6"/>
    <w:tblPr>
      <w:tblStyleRowBandSize w:val="1"/>
      <w:tblStyleColBandSize w:val="1"/>
      <w:tblCellMar>
        <w:top w:w="41.0" w:type="dxa"/>
        <w:left w:w="827.0" w:type="dxa"/>
        <w:right w:w="115.0" w:type="dxa"/>
      </w:tblCellMar>
    </w:tblPr>
  </w:style>
  <w:style w:type="table" w:styleId="affffff8" w:customStyle="1">
    <w:basedOn w:val="TableNormal6"/>
    <w:tblPr>
      <w:tblStyleRowBandSize w:val="1"/>
      <w:tblStyleColBandSize w:val="1"/>
      <w:tblCellMar>
        <w:top w:w="41.0" w:type="dxa"/>
        <w:left w:w="827.0" w:type="dxa"/>
        <w:right w:w="115.0" w:type="dxa"/>
      </w:tblCellMar>
    </w:tblPr>
  </w:style>
  <w:style w:type="table" w:styleId="affffff9" w:customStyle="1">
    <w:basedOn w:val="TableNormal6"/>
    <w:tblPr>
      <w:tblStyleRowBandSize w:val="1"/>
      <w:tblStyleColBandSize w:val="1"/>
      <w:tblCellMar>
        <w:top w:w="41.0" w:type="dxa"/>
        <w:left w:w="827.0" w:type="dxa"/>
        <w:right w:w="115.0" w:type="dxa"/>
      </w:tblCellMar>
    </w:tblPr>
  </w:style>
  <w:style w:type="table" w:styleId="affffffa" w:customStyle="1">
    <w:basedOn w:val="TableNormal6"/>
    <w:tblPr>
      <w:tblStyleRowBandSize w:val="1"/>
      <w:tblStyleColBandSize w:val="1"/>
      <w:tblCellMar>
        <w:top w:w="41.0" w:type="dxa"/>
        <w:left w:w="827.0" w:type="dxa"/>
        <w:right w:w="115.0" w:type="dxa"/>
      </w:tblCellMar>
    </w:tblPr>
  </w:style>
  <w:style w:type="table" w:styleId="affffffb" w:customStyle="1">
    <w:basedOn w:val="TableNormal6"/>
    <w:tblPr>
      <w:tblStyleRowBandSize w:val="1"/>
      <w:tblStyleColBandSize w:val="1"/>
      <w:tblCellMar>
        <w:top w:w="41.0" w:type="dxa"/>
        <w:left w:w="827.0" w:type="dxa"/>
        <w:right w:w="115.0" w:type="dxa"/>
      </w:tblCellMar>
    </w:tblPr>
  </w:style>
  <w:style w:type="table" w:styleId="affffffc" w:customStyle="1">
    <w:basedOn w:val="TableNormal6"/>
    <w:tblPr>
      <w:tblStyleRowBandSize w:val="1"/>
      <w:tblStyleColBandSize w:val="1"/>
      <w:tblCellMar>
        <w:top w:w="41.0" w:type="dxa"/>
        <w:left w:w="827.0" w:type="dxa"/>
        <w:right w:w="115.0" w:type="dxa"/>
      </w:tblCellMar>
    </w:tblPr>
  </w:style>
  <w:style w:type="table" w:styleId="affffffd" w:customStyle="1">
    <w:basedOn w:val="TableNormal5"/>
    <w:tblPr>
      <w:tblStyleRowBandSize w:val="1"/>
      <w:tblStyleColBandSize w:val="1"/>
      <w:tblCellMar>
        <w:top w:w="41.0" w:type="dxa"/>
        <w:left w:w="827.0" w:type="dxa"/>
        <w:right w:w="115.0" w:type="dxa"/>
      </w:tblCellMar>
    </w:tblPr>
  </w:style>
  <w:style w:type="table" w:styleId="affffffe" w:customStyle="1">
    <w:basedOn w:val="TableNormal5"/>
    <w:tblPr>
      <w:tblStyleRowBandSize w:val="1"/>
      <w:tblStyleColBandSize w:val="1"/>
      <w:tblCellMar>
        <w:top w:w="41.0" w:type="dxa"/>
        <w:left w:w="827.0" w:type="dxa"/>
        <w:right w:w="115.0" w:type="dxa"/>
      </w:tblCellMar>
    </w:tblPr>
  </w:style>
  <w:style w:type="table" w:styleId="afffffff" w:customStyle="1">
    <w:basedOn w:val="TableNormal5"/>
    <w:tblPr>
      <w:tblStyleRowBandSize w:val="1"/>
      <w:tblStyleColBandSize w:val="1"/>
      <w:tblCellMar>
        <w:top w:w="41.0" w:type="dxa"/>
        <w:left w:w="827.0" w:type="dxa"/>
        <w:right w:w="115.0" w:type="dxa"/>
      </w:tblCellMar>
    </w:tblPr>
  </w:style>
  <w:style w:type="table" w:styleId="afffffff0" w:customStyle="1">
    <w:basedOn w:val="TableNormal5"/>
    <w:tblPr>
      <w:tblStyleRowBandSize w:val="1"/>
      <w:tblStyleColBandSize w:val="1"/>
      <w:tblCellMar>
        <w:top w:w="41.0" w:type="dxa"/>
        <w:left w:w="827.0" w:type="dxa"/>
        <w:right w:w="115.0" w:type="dxa"/>
      </w:tblCellMar>
    </w:tblPr>
  </w:style>
  <w:style w:type="table" w:styleId="afffffff1" w:customStyle="1">
    <w:basedOn w:val="TableNormal5"/>
    <w:tblPr>
      <w:tblStyleRowBandSize w:val="1"/>
      <w:tblStyleColBandSize w:val="1"/>
      <w:tblCellMar>
        <w:top w:w="41.0" w:type="dxa"/>
        <w:left w:w="827.0" w:type="dxa"/>
        <w:right w:w="115.0" w:type="dxa"/>
      </w:tblCellMar>
    </w:tblPr>
  </w:style>
  <w:style w:type="table" w:styleId="afffffff2" w:customStyle="1">
    <w:basedOn w:val="TableNormal5"/>
    <w:tblPr>
      <w:tblStyleRowBandSize w:val="1"/>
      <w:tblStyleColBandSize w:val="1"/>
      <w:tblCellMar>
        <w:top w:w="41.0" w:type="dxa"/>
        <w:left w:w="827.0" w:type="dxa"/>
        <w:right w:w="115.0" w:type="dxa"/>
      </w:tblCellMar>
    </w:tblPr>
  </w:style>
  <w:style w:type="table" w:styleId="afffffff3" w:customStyle="1">
    <w:basedOn w:val="TableNormal5"/>
    <w:tblPr>
      <w:tblStyleRowBandSize w:val="1"/>
      <w:tblStyleColBandSize w:val="1"/>
      <w:tblCellMar>
        <w:top w:w="41.0" w:type="dxa"/>
        <w:left w:w="827.0" w:type="dxa"/>
        <w:right w:w="115.0" w:type="dxa"/>
      </w:tblCellMar>
    </w:tblPr>
  </w:style>
  <w:style w:type="table" w:styleId="afffffff4" w:customStyle="1">
    <w:basedOn w:val="TableNormal5"/>
    <w:tblPr>
      <w:tblStyleRowBandSize w:val="1"/>
      <w:tblStyleColBandSize w:val="1"/>
      <w:tblCellMar>
        <w:top w:w="41.0" w:type="dxa"/>
        <w:left w:w="827.0" w:type="dxa"/>
        <w:right w:w="115.0" w:type="dxa"/>
      </w:tblCellMar>
    </w:tblPr>
  </w:style>
  <w:style w:type="table" w:styleId="afffffff5" w:customStyle="1">
    <w:basedOn w:val="TableNormal5"/>
    <w:tblPr>
      <w:tblStyleRowBandSize w:val="1"/>
      <w:tblStyleColBandSize w:val="1"/>
      <w:tblCellMar>
        <w:top w:w="41.0" w:type="dxa"/>
        <w:left w:w="827.0" w:type="dxa"/>
        <w:right w:w="115.0" w:type="dxa"/>
      </w:tblCellMar>
    </w:tblPr>
  </w:style>
  <w:style w:type="table" w:styleId="afffffff6" w:customStyle="1">
    <w:basedOn w:val="TableNormal5"/>
    <w:tblPr>
      <w:tblStyleRowBandSize w:val="1"/>
      <w:tblStyleColBandSize w:val="1"/>
      <w:tblCellMar>
        <w:top w:w="41.0" w:type="dxa"/>
        <w:left w:w="827.0" w:type="dxa"/>
        <w:right w:w="115.0" w:type="dxa"/>
      </w:tblCellMar>
    </w:tblPr>
  </w:style>
  <w:style w:type="table" w:styleId="afffffff7" w:customStyle="1">
    <w:basedOn w:val="TableNormal5"/>
    <w:tblPr>
      <w:tblStyleRowBandSize w:val="1"/>
      <w:tblStyleColBandSize w:val="1"/>
      <w:tblCellMar>
        <w:top w:w="41.0" w:type="dxa"/>
        <w:left w:w="827.0" w:type="dxa"/>
        <w:right w:w="115.0" w:type="dxa"/>
      </w:tblCellMar>
    </w:tblPr>
  </w:style>
  <w:style w:type="table" w:styleId="afffffff8" w:customStyle="1">
    <w:basedOn w:val="TableNormal5"/>
    <w:tblPr>
      <w:tblStyleRowBandSize w:val="1"/>
      <w:tblStyleColBandSize w:val="1"/>
      <w:tblCellMar>
        <w:top w:w="41.0" w:type="dxa"/>
        <w:left w:w="827.0" w:type="dxa"/>
        <w:right w:w="115.0" w:type="dxa"/>
      </w:tblCellMar>
    </w:tblPr>
  </w:style>
  <w:style w:type="table" w:styleId="afffffff9" w:customStyle="1">
    <w:basedOn w:val="TableNormal5"/>
    <w:tblPr>
      <w:tblStyleRowBandSize w:val="1"/>
      <w:tblStyleColBandSize w:val="1"/>
      <w:tblCellMar>
        <w:top w:w="41.0" w:type="dxa"/>
        <w:left w:w="827.0" w:type="dxa"/>
        <w:right w:w="115.0" w:type="dxa"/>
      </w:tblCellMar>
    </w:tblPr>
  </w:style>
  <w:style w:type="table" w:styleId="afffffffa" w:customStyle="1">
    <w:basedOn w:val="TableNormal5"/>
    <w:tblPr>
      <w:tblStyleRowBandSize w:val="1"/>
      <w:tblStyleColBandSize w:val="1"/>
      <w:tblCellMar>
        <w:top w:w="41.0" w:type="dxa"/>
        <w:left w:w="827.0" w:type="dxa"/>
        <w:right w:w="115.0" w:type="dxa"/>
      </w:tblCellMar>
    </w:tblPr>
  </w:style>
  <w:style w:type="table" w:styleId="afffffffb" w:customStyle="1">
    <w:basedOn w:val="TableNormal5"/>
    <w:tblPr>
      <w:tblStyleRowBandSize w:val="1"/>
      <w:tblStyleColBandSize w:val="1"/>
      <w:tblCellMar>
        <w:top w:w="41.0" w:type="dxa"/>
        <w:left w:w="827.0" w:type="dxa"/>
        <w:right w:w="115.0" w:type="dxa"/>
      </w:tblCellMar>
    </w:tblPr>
  </w:style>
  <w:style w:type="table" w:styleId="afffffffc" w:customStyle="1">
    <w:basedOn w:val="TableNormal5"/>
    <w:tblPr>
      <w:tblStyleRowBandSize w:val="1"/>
      <w:tblStyleColBandSize w:val="1"/>
      <w:tblCellMar>
        <w:top w:w="41.0" w:type="dxa"/>
        <w:left w:w="827.0" w:type="dxa"/>
        <w:right w:w="115.0" w:type="dxa"/>
      </w:tblCellMar>
    </w:tblPr>
  </w:style>
  <w:style w:type="table" w:styleId="afffffffd" w:customStyle="1">
    <w:basedOn w:val="TableNormal5"/>
    <w:tblPr>
      <w:tblStyleRowBandSize w:val="1"/>
      <w:tblStyleColBandSize w:val="1"/>
      <w:tblCellMar>
        <w:top w:w="41.0" w:type="dxa"/>
        <w:left w:w="827.0" w:type="dxa"/>
        <w:right w:w="115.0" w:type="dxa"/>
      </w:tblCellMar>
    </w:tblPr>
  </w:style>
  <w:style w:type="table" w:styleId="afffffffe" w:customStyle="1">
    <w:basedOn w:val="TableNormal5"/>
    <w:tblPr>
      <w:tblStyleRowBandSize w:val="1"/>
      <w:tblStyleColBandSize w:val="1"/>
      <w:tblCellMar>
        <w:top w:w="41.0" w:type="dxa"/>
        <w:left w:w="827.0" w:type="dxa"/>
        <w:right w:w="115.0" w:type="dxa"/>
      </w:tblCellMar>
    </w:tblPr>
  </w:style>
  <w:style w:type="table" w:styleId="affffffff" w:customStyle="1">
    <w:basedOn w:val="TableNormal5"/>
    <w:tblPr>
      <w:tblStyleRowBandSize w:val="1"/>
      <w:tblStyleColBandSize w:val="1"/>
      <w:tblCellMar>
        <w:top w:w="41.0" w:type="dxa"/>
        <w:left w:w="827.0" w:type="dxa"/>
        <w:right w:w="115.0" w:type="dxa"/>
      </w:tblCellMar>
    </w:tblPr>
  </w:style>
  <w:style w:type="table" w:styleId="affffffff0" w:customStyle="1">
    <w:basedOn w:val="TableNormal5"/>
    <w:tblPr>
      <w:tblStyleRowBandSize w:val="1"/>
      <w:tblStyleColBandSize w:val="1"/>
      <w:tblCellMar>
        <w:top w:w="41.0" w:type="dxa"/>
        <w:left w:w="827.0" w:type="dxa"/>
        <w:right w:w="115.0" w:type="dxa"/>
      </w:tblCellMar>
    </w:tblPr>
  </w:style>
  <w:style w:type="table" w:styleId="affffffff1" w:customStyle="1">
    <w:basedOn w:val="TableNormal5"/>
    <w:tblPr>
      <w:tblStyleRowBandSize w:val="1"/>
      <w:tblStyleColBandSize w:val="1"/>
      <w:tblCellMar>
        <w:top w:w="41.0" w:type="dxa"/>
        <w:left w:w="827.0" w:type="dxa"/>
        <w:right w:w="115.0" w:type="dxa"/>
      </w:tblCellMar>
    </w:tblPr>
  </w:style>
  <w:style w:type="table" w:styleId="affffffff2" w:customStyle="1">
    <w:basedOn w:val="TableNormal5"/>
    <w:tblPr>
      <w:tblStyleRowBandSize w:val="1"/>
      <w:tblStyleColBandSize w:val="1"/>
      <w:tblCellMar>
        <w:top w:w="41.0" w:type="dxa"/>
        <w:left w:w="827.0" w:type="dxa"/>
        <w:right w:w="115.0" w:type="dxa"/>
      </w:tblCellMar>
    </w:tblPr>
  </w:style>
  <w:style w:type="table" w:styleId="affffffff3" w:customStyle="1">
    <w:basedOn w:val="TableNormal5"/>
    <w:tblPr>
      <w:tblStyleRowBandSize w:val="1"/>
      <w:tblStyleColBandSize w:val="1"/>
      <w:tblCellMar>
        <w:top w:w="41.0" w:type="dxa"/>
        <w:left w:w="827.0" w:type="dxa"/>
        <w:right w:w="115.0" w:type="dxa"/>
      </w:tblCellMar>
    </w:tblPr>
  </w:style>
  <w:style w:type="table" w:styleId="affffffff4" w:customStyle="1">
    <w:basedOn w:val="TableNormal5"/>
    <w:tblPr>
      <w:tblStyleRowBandSize w:val="1"/>
      <w:tblStyleColBandSize w:val="1"/>
      <w:tblCellMar>
        <w:top w:w="41.0" w:type="dxa"/>
        <w:left w:w="827.0" w:type="dxa"/>
        <w:right w:w="115.0" w:type="dxa"/>
      </w:tblCellMar>
    </w:tblPr>
  </w:style>
  <w:style w:type="table" w:styleId="affffffff5" w:customStyle="1">
    <w:basedOn w:val="TableNormal5"/>
    <w:tblPr>
      <w:tblStyleRowBandSize w:val="1"/>
      <w:tblStyleColBandSize w:val="1"/>
      <w:tblCellMar>
        <w:top w:w="41.0" w:type="dxa"/>
        <w:left w:w="827.0" w:type="dxa"/>
        <w:right w:w="115.0" w:type="dxa"/>
      </w:tblCellMar>
    </w:tblPr>
  </w:style>
  <w:style w:type="table" w:styleId="affffffff6" w:customStyle="1">
    <w:basedOn w:val="TableNormal3"/>
    <w:tblPr>
      <w:tblStyleRowBandSize w:val="1"/>
      <w:tblStyleColBandSize w:val="1"/>
      <w:tblCellMar>
        <w:top w:w="41.0" w:type="dxa"/>
        <w:left w:w="827.0" w:type="dxa"/>
        <w:right w:w="115.0" w:type="dxa"/>
      </w:tblCellMar>
    </w:tblPr>
  </w:style>
  <w:style w:type="table" w:styleId="affffffff7" w:customStyle="1">
    <w:basedOn w:val="TableNormal3"/>
    <w:tblPr>
      <w:tblStyleRowBandSize w:val="1"/>
      <w:tblStyleColBandSize w:val="1"/>
      <w:tblCellMar>
        <w:top w:w="41.0" w:type="dxa"/>
        <w:left w:w="827.0" w:type="dxa"/>
        <w:right w:w="115.0" w:type="dxa"/>
      </w:tblCellMar>
    </w:tblPr>
  </w:style>
  <w:style w:type="table" w:styleId="affffffff8" w:customStyle="1">
    <w:basedOn w:val="TableNormal3"/>
    <w:tblPr>
      <w:tblStyleRowBandSize w:val="1"/>
      <w:tblStyleColBandSize w:val="1"/>
      <w:tblCellMar>
        <w:top w:w="41.0" w:type="dxa"/>
        <w:left w:w="827.0" w:type="dxa"/>
        <w:right w:w="115.0" w:type="dxa"/>
      </w:tblCellMar>
    </w:tblPr>
  </w:style>
  <w:style w:type="table" w:styleId="affffffff9" w:customStyle="1">
    <w:basedOn w:val="TableNormal3"/>
    <w:tblPr>
      <w:tblStyleRowBandSize w:val="1"/>
      <w:tblStyleColBandSize w:val="1"/>
      <w:tblCellMar>
        <w:top w:w="41.0" w:type="dxa"/>
        <w:left w:w="827.0" w:type="dxa"/>
        <w:right w:w="115.0" w:type="dxa"/>
      </w:tblCellMar>
    </w:tblPr>
  </w:style>
  <w:style w:type="table" w:styleId="affffffffa" w:customStyle="1">
    <w:basedOn w:val="TableNormal3"/>
    <w:tblPr>
      <w:tblStyleRowBandSize w:val="1"/>
      <w:tblStyleColBandSize w:val="1"/>
      <w:tblCellMar>
        <w:top w:w="41.0" w:type="dxa"/>
        <w:left w:w="827.0" w:type="dxa"/>
        <w:right w:w="115.0" w:type="dxa"/>
      </w:tblCellMar>
    </w:tblPr>
  </w:style>
  <w:style w:type="table" w:styleId="affffffffb" w:customStyle="1">
    <w:basedOn w:val="TableNormal3"/>
    <w:tblPr>
      <w:tblStyleRowBandSize w:val="1"/>
      <w:tblStyleColBandSize w:val="1"/>
      <w:tblCellMar>
        <w:top w:w="41.0" w:type="dxa"/>
        <w:left w:w="827.0" w:type="dxa"/>
        <w:right w:w="115.0" w:type="dxa"/>
      </w:tblCellMar>
    </w:tblPr>
  </w:style>
  <w:style w:type="table" w:styleId="affffffffc" w:customStyle="1">
    <w:basedOn w:val="TableNormal3"/>
    <w:tblPr>
      <w:tblStyleRowBandSize w:val="1"/>
      <w:tblStyleColBandSize w:val="1"/>
      <w:tblCellMar>
        <w:top w:w="41.0" w:type="dxa"/>
        <w:left w:w="827.0" w:type="dxa"/>
        <w:right w:w="115.0" w:type="dxa"/>
      </w:tblCellMar>
    </w:tblPr>
  </w:style>
  <w:style w:type="table" w:styleId="affffffffd" w:customStyle="1">
    <w:basedOn w:val="TableNormal3"/>
    <w:tblPr>
      <w:tblStyleRowBandSize w:val="1"/>
      <w:tblStyleColBandSize w:val="1"/>
      <w:tblCellMar>
        <w:top w:w="41.0" w:type="dxa"/>
        <w:left w:w="827.0" w:type="dxa"/>
        <w:right w:w="115.0" w:type="dxa"/>
      </w:tblCellMar>
    </w:tblPr>
  </w:style>
  <w:style w:type="table" w:styleId="affffffffe" w:customStyle="1">
    <w:basedOn w:val="TableNormal3"/>
    <w:tblPr>
      <w:tblStyleRowBandSize w:val="1"/>
      <w:tblStyleColBandSize w:val="1"/>
      <w:tblCellMar>
        <w:top w:w="41.0" w:type="dxa"/>
        <w:left w:w="827.0" w:type="dxa"/>
        <w:right w:w="115.0" w:type="dxa"/>
      </w:tblCellMar>
    </w:tblPr>
  </w:style>
  <w:style w:type="table" w:styleId="afffffffff" w:customStyle="1">
    <w:basedOn w:val="TableNormal3"/>
    <w:tblPr>
      <w:tblStyleRowBandSize w:val="1"/>
      <w:tblStyleColBandSize w:val="1"/>
      <w:tblCellMar>
        <w:top w:w="41.0" w:type="dxa"/>
        <w:left w:w="827.0" w:type="dxa"/>
        <w:right w:w="115.0" w:type="dxa"/>
      </w:tblCellMar>
    </w:tblPr>
  </w:style>
  <w:style w:type="table" w:styleId="afffffffff0" w:customStyle="1">
    <w:basedOn w:val="TableNormal3"/>
    <w:tblPr>
      <w:tblStyleRowBandSize w:val="1"/>
      <w:tblStyleColBandSize w:val="1"/>
      <w:tblCellMar>
        <w:top w:w="41.0" w:type="dxa"/>
        <w:left w:w="827.0" w:type="dxa"/>
        <w:right w:w="115.0" w:type="dxa"/>
      </w:tblCellMar>
    </w:tblPr>
  </w:style>
  <w:style w:type="table" w:styleId="afffffffff1" w:customStyle="1">
    <w:basedOn w:val="TableNormal3"/>
    <w:tblPr>
      <w:tblStyleRowBandSize w:val="1"/>
      <w:tblStyleColBandSize w:val="1"/>
      <w:tblCellMar>
        <w:top w:w="41.0" w:type="dxa"/>
        <w:left w:w="827.0" w:type="dxa"/>
        <w:right w:w="115.0" w:type="dxa"/>
      </w:tblCellMar>
    </w:tblPr>
  </w:style>
  <w:style w:type="table" w:styleId="afffffffff2" w:customStyle="1">
    <w:basedOn w:val="TableNormal3"/>
    <w:tblPr>
      <w:tblStyleRowBandSize w:val="1"/>
      <w:tblStyleColBandSize w:val="1"/>
      <w:tblCellMar>
        <w:top w:w="41.0" w:type="dxa"/>
        <w:left w:w="827.0" w:type="dxa"/>
        <w:right w:w="115.0" w:type="dxa"/>
      </w:tblCellMar>
    </w:tblPr>
  </w:style>
  <w:style w:type="table" w:styleId="afffffffff3" w:customStyle="1">
    <w:basedOn w:val="TableNormal3"/>
    <w:tblPr>
      <w:tblStyleRowBandSize w:val="1"/>
      <w:tblStyleColBandSize w:val="1"/>
      <w:tblCellMar>
        <w:top w:w="41.0" w:type="dxa"/>
        <w:left w:w="827.0" w:type="dxa"/>
        <w:right w:w="115.0" w:type="dxa"/>
      </w:tblCellMar>
    </w:tblPr>
  </w:style>
  <w:style w:type="table" w:styleId="afffffffff4" w:customStyle="1">
    <w:basedOn w:val="TableNormal3"/>
    <w:tblPr>
      <w:tblStyleRowBandSize w:val="1"/>
      <w:tblStyleColBandSize w:val="1"/>
      <w:tblCellMar>
        <w:top w:w="41.0" w:type="dxa"/>
        <w:left w:w="827.0" w:type="dxa"/>
        <w:right w:w="115.0" w:type="dxa"/>
      </w:tblCellMar>
    </w:tblPr>
  </w:style>
  <w:style w:type="table" w:styleId="afffffffff5" w:customStyle="1">
    <w:basedOn w:val="TableNormal3"/>
    <w:tblPr>
      <w:tblStyleRowBandSize w:val="1"/>
      <w:tblStyleColBandSize w:val="1"/>
      <w:tblCellMar>
        <w:top w:w="41.0" w:type="dxa"/>
        <w:left w:w="827.0" w:type="dxa"/>
        <w:right w:w="115.0" w:type="dxa"/>
      </w:tblCellMar>
    </w:tblPr>
  </w:style>
  <w:style w:type="table" w:styleId="afffffffff6" w:customStyle="1">
    <w:basedOn w:val="TableNormal3"/>
    <w:tblPr>
      <w:tblStyleRowBandSize w:val="1"/>
      <w:tblStyleColBandSize w:val="1"/>
      <w:tblCellMar>
        <w:top w:w="41.0" w:type="dxa"/>
        <w:left w:w="827.0" w:type="dxa"/>
        <w:right w:w="115.0" w:type="dxa"/>
      </w:tblCellMar>
    </w:tblPr>
  </w:style>
  <w:style w:type="table" w:styleId="afffffffff7" w:customStyle="1">
    <w:basedOn w:val="TableNormal3"/>
    <w:tblPr>
      <w:tblStyleRowBandSize w:val="1"/>
      <w:tblStyleColBandSize w:val="1"/>
      <w:tblCellMar>
        <w:top w:w="41.0" w:type="dxa"/>
        <w:left w:w="827.0" w:type="dxa"/>
        <w:right w:w="115.0" w:type="dxa"/>
      </w:tblCellMar>
    </w:tblPr>
  </w:style>
  <w:style w:type="table" w:styleId="afffffffff8" w:customStyle="1">
    <w:basedOn w:val="TableNormal3"/>
    <w:tblPr>
      <w:tblStyleRowBandSize w:val="1"/>
      <w:tblStyleColBandSize w:val="1"/>
      <w:tblCellMar>
        <w:top w:w="41.0" w:type="dxa"/>
        <w:left w:w="827.0" w:type="dxa"/>
        <w:right w:w="115.0" w:type="dxa"/>
      </w:tblCellMar>
    </w:tblPr>
  </w:style>
  <w:style w:type="table" w:styleId="afffffffff9" w:customStyle="1">
    <w:basedOn w:val="TableNormal3"/>
    <w:tblPr>
      <w:tblStyleRowBandSize w:val="1"/>
      <w:tblStyleColBandSize w:val="1"/>
      <w:tblCellMar>
        <w:top w:w="41.0" w:type="dxa"/>
        <w:left w:w="827.0" w:type="dxa"/>
        <w:right w:w="115.0" w:type="dxa"/>
      </w:tblCellMar>
    </w:tblPr>
  </w:style>
  <w:style w:type="table" w:styleId="afffffffffa" w:customStyle="1">
    <w:basedOn w:val="TableNormal3"/>
    <w:tblPr>
      <w:tblStyleRowBandSize w:val="1"/>
      <w:tblStyleColBandSize w:val="1"/>
      <w:tblCellMar>
        <w:top w:w="41.0" w:type="dxa"/>
        <w:left w:w="827.0" w:type="dxa"/>
        <w:right w:w="115.0" w:type="dxa"/>
      </w:tblCellMar>
    </w:tblPr>
  </w:style>
  <w:style w:type="table" w:styleId="afffffffffb" w:customStyle="1">
    <w:basedOn w:val="TableNormal3"/>
    <w:tblPr>
      <w:tblStyleRowBandSize w:val="1"/>
      <w:tblStyleColBandSize w:val="1"/>
      <w:tblCellMar>
        <w:top w:w="41.0" w:type="dxa"/>
        <w:left w:w="827.0" w:type="dxa"/>
        <w:right w:w="115.0" w:type="dxa"/>
      </w:tblCellMar>
    </w:tblPr>
  </w:style>
  <w:style w:type="table" w:styleId="afffffffffc" w:customStyle="1">
    <w:basedOn w:val="TableNormal3"/>
    <w:tblPr>
      <w:tblStyleRowBandSize w:val="1"/>
      <w:tblStyleColBandSize w:val="1"/>
      <w:tblCellMar>
        <w:top w:w="41.0" w:type="dxa"/>
        <w:left w:w="827.0" w:type="dxa"/>
        <w:right w:w="115.0" w:type="dxa"/>
      </w:tblCellMar>
    </w:tblPr>
  </w:style>
  <w:style w:type="table" w:styleId="afffffffffd" w:customStyle="1">
    <w:basedOn w:val="TableNormal3"/>
    <w:tblPr>
      <w:tblStyleRowBandSize w:val="1"/>
      <w:tblStyleColBandSize w:val="1"/>
      <w:tblCellMar>
        <w:top w:w="41.0" w:type="dxa"/>
        <w:left w:w="827.0" w:type="dxa"/>
        <w:right w:w="115.0" w:type="dxa"/>
      </w:tblCellMar>
    </w:tblPr>
  </w:style>
  <w:style w:type="table" w:styleId="afffffffffe" w:customStyle="1">
    <w:basedOn w:val="TableNormal3"/>
    <w:tblPr>
      <w:tblStyleRowBandSize w:val="1"/>
      <w:tblStyleColBandSize w:val="1"/>
      <w:tblCellMar>
        <w:top w:w="41.0" w:type="dxa"/>
        <w:left w:w="827.0" w:type="dxa"/>
        <w:right w:w="115.0" w:type="dxa"/>
      </w:tblCellMar>
    </w:tblPr>
  </w:style>
  <w:style w:type="table" w:styleId="affffffffff" w:customStyle="1">
    <w:basedOn w:val="TableNormal3"/>
    <w:tblPr>
      <w:tblStyleRowBandSize w:val="1"/>
      <w:tblStyleColBandSize w:val="1"/>
      <w:tblCellMar>
        <w:top w:w="41.0" w:type="dxa"/>
        <w:left w:w="827.0" w:type="dxa"/>
        <w:right w:w="115.0" w:type="dxa"/>
      </w:tblCellMar>
    </w:tblPr>
  </w:style>
  <w:style w:type="table" w:styleId="affffffffff0" w:customStyle="1">
    <w:basedOn w:val="TableNormal3"/>
    <w:tblPr>
      <w:tblStyleRowBandSize w:val="1"/>
      <w:tblStyleColBandSize w:val="1"/>
      <w:tblCellMar>
        <w:top w:w="41.0" w:type="dxa"/>
        <w:left w:w="827.0" w:type="dxa"/>
        <w:right w:w="115.0" w:type="dxa"/>
      </w:tblCellMar>
    </w:tblPr>
  </w:style>
  <w:style w:type="table" w:styleId="affffffffff1" w:customStyle="1">
    <w:basedOn w:val="TableNormal3"/>
    <w:tblPr>
      <w:tblStyleRowBandSize w:val="1"/>
      <w:tblStyleColBandSize w:val="1"/>
      <w:tblCellMar>
        <w:top w:w="41.0" w:type="dxa"/>
        <w:left w:w="827.0" w:type="dxa"/>
        <w:right w:w="115.0" w:type="dxa"/>
      </w:tblCellMar>
    </w:tblPr>
  </w:style>
  <w:style w:type="table" w:styleId="affffffffff2" w:customStyle="1">
    <w:basedOn w:val="TableNormal3"/>
    <w:tblPr>
      <w:tblStyleRowBandSize w:val="1"/>
      <w:tblStyleColBandSize w:val="1"/>
      <w:tblCellMar>
        <w:top w:w="41.0" w:type="dxa"/>
        <w:left w:w="827.0" w:type="dxa"/>
        <w:right w:w="115.0" w:type="dxa"/>
      </w:tblCellMar>
    </w:tblPr>
  </w:style>
  <w:style w:type="table" w:styleId="affffffffff3" w:customStyle="1">
    <w:basedOn w:val="TableNormal3"/>
    <w:tblPr>
      <w:tblStyleRowBandSize w:val="1"/>
      <w:tblStyleColBandSize w:val="1"/>
      <w:tblCellMar>
        <w:top w:w="41.0" w:type="dxa"/>
        <w:left w:w="827.0" w:type="dxa"/>
        <w:right w:w="115.0" w:type="dxa"/>
      </w:tblCellMar>
    </w:tblPr>
  </w:style>
  <w:style w:type="table" w:styleId="affffffffff4" w:customStyle="1">
    <w:basedOn w:val="TableNormal3"/>
    <w:tblPr>
      <w:tblStyleRowBandSize w:val="1"/>
      <w:tblStyleColBandSize w:val="1"/>
      <w:tblCellMar>
        <w:top w:w="41.0" w:type="dxa"/>
        <w:left w:w="827.0" w:type="dxa"/>
        <w:right w:w="115.0" w:type="dxa"/>
      </w:tblCellMar>
    </w:tblPr>
  </w:style>
  <w:style w:type="table" w:styleId="affffffffff5" w:customStyle="1">
    <w:basedOn w:val="TableNormal3"/>
    <w:tblPr>
      <w:tblStyleRowBandSize w:val="1"/>
      <w:tblStyleColBandSize w:val="1"/>
      <w:tblCellMar>
        <w:top w:w="41.0" w:type="dxa"/>
        <w:left w:w="827.0" w:type="dxa"/>
        <w:right w:w="115.0" w:type="dxa"/>
      </w:tblCellMar>
    </w:tblPr>
  </w:style>
  <w:style w:type="table" w:styleId="affffffffff6" w:customStyle="1">
    <w:basedOn w:val="TableNormal3"/>
    <w:tblPr>
      <w:tblStyleRowBandSize w:val="1"/>
      <w:tblStyleColBandSize w:val="1"/>
      <w:tblCellMar>
        <w:top w:w="41.0" w:type="dxa"/>
        <w:left w:w="827.0" w:type="dxa"/>
        <w:right w:w="115.0" w:type="dxa"/>
      </w:tblCellMar>
    </w:tblPr>
  </w:style>
  <w:style w:type="table" w:styleId="affffffffff7" w:customStyle="1">
    <w:basedOn w:val="TableNormal3"/>
    <w:tblPr>
      <w:tblStyleRowBandSize w:val="1"/>
      <w:tblStyleColBandSize w:val="1"/>
      <w:tblCellMar>
        <w:top w:w="41.0" w:type="dxa"/>
        <w:left w:w="827.0" w:type="dxa"/>
        <w:right w:w="115.0" w:type="dxa"/>
      </w:tblCellMar>
    </w:tblPr>
  </w:style>
  <w:style w:type="table" w:styleId="affffffffff8" w:customStyle="1">
    <w:basedOn w:val="TableNormal3"/>
    <w:tblPr>
      <w:tblStyleRowBandSize w:val="1"/>
      <w:tblStyleColBandSize w:val="1"/>
      <w:tblCellMar>
        <w:top w:w="41.0" w:type="dxa"/>
        <w:left w:w="827.0" w:type="dxa"/>
        <w:right w:w="115.0" w:type="dxa"/>
      </w:tblCellMar>
    </w:tblPr>
  </w:style>
  <w:style w:type="table" w:styleId="affffffffff9" w:customStyle="1">
    <w:basedOn w:val="TableNormal3"/>
    <w:tblPr>
      <w:tblStyleRowBandSize w:val="1"/>
      <w:tblStyleColBandSize w:val="1"/>
      <w:tblCellMar>
        <w:top w:w="41.0" w:type="dxa"/>
        <w:left w:w="827.0" w:type="dxa"/>
        <w:right w:w="115.0" w:type="dxa"/>
      </w:tblCellMar>
    </w:tblPr>
  </w:style>
  <w:style w:type="table" w:styleId="affffffffffa" w:customStyle="1">
    <w:basedOn w:val="TableNormal3"/>
    <w:tblPr>
      <w:tblStyleRowBandSize w:val="1"/>
      <w:tblStyleColBandSize w:val="1"/>
      <w:tblCellMar>
        <w:top w:w="100.0" w:type="dxa"/>
        <w:left w:w="100.0" w:type="dxa"/>
        <w:bottom w:w="100.0" w:type="dxa"/>
        <w:right w:w="100.0" w:type="dxa"/>
      </w:tblCellMar>
    </w:tblPr>
  </w:style>
  <w:style w:type="table" w:styleId="affffffffffb" w:customStyle="1">
    <w:basedOn w:val="TableNormal3"/>
    <w:tblPr>
      <w:tblStyleRowBandSize w:val="1"/>
      <w:tblStyleColBandSize w:val="1"/>
      <w:tblCellMar>
        <w:top w:w="41.0" w:type="dxa"/>
        <w:left w:w="827.0" w:type="dxa"/>
        <w:right w:w="115.0" w:type="dxa"/>
      </w:tblCellMar>
    </w:tblPr>
  </w:style>
  <w:style w:type="table" w:styleId="affffffffffc" w:customStyle="1">
    <w:basedOn w:val="TableNormal3"/>
    <w:tblPr>
      <w:tblStyleRowBandSize w:val="1"/>
      <w:tblStyleColBandSize w:val="1"/>
      <w:tblCellMar>
        <w:top w:w="41.0" w:type="dxa"/>
        <w:left w:w="827.0" w:type="dxa"/>
        <w:right w:w="115.0" w:type="dxa"/>
      </w:tblCellMar>
    </w:tblPr>
  </w:style>
  <w:style w:type="table" w:styleId="affffffffffd" w:customStyle="1">
    <w:basedOn w:val="TableNormal3"/>
    <w:tblPr>
      <w:tblStyleRowBandSize w:val="1"/>
      <w:tblStyleColBandSize w:val="1"/>
      <w:tblCellMar>
        <w:top w:w="41.0" w:type="dxa"/>
        <w:left w:w="827.0" w:type="dxa"/>
        <w:right w:w="115.0" w:type="dxa"/>
      </w:tblCellMar>
    </w:tblPr>
  </w:style>
  <w:style w:type="table" w:styleId="affffffffffe" w:customStyle="1">
    <w:basedOn w:val="TableNormal3"/>
    <w:tblPr>
      <w:tblStyleRowBandSize w:val="1"/>
      <w:tblStyleColBandSize w:val="1"/>
      <w:tblCellMar>
        <w:top w:w="41.0" w:type="dxa"/>
        <w:left w:w="827.0" w:type="dxa"/>
        <w:right w:w="115.0" w:type="dxa"/>
      </w:tblCellMar>
    </w:tblPr>
  </w:style>
  <w:style w:type="table" w:styleId="afffffffffff" w:customStyle="1">
    <w:basedOn w:val="TableNormal3"/>
    <w:tblPr>
      <w:tblStyleRowBandSize w:val="1"/>
      <w:tblStyleColBandSize w:val="1"/>
      <w:tblCellMar>
        <w:top w:w="41.0" w:type="dxa"/>
        <w:left w:w="827.0" w:type="dxa"/>
        <w:right w:w="115.0" w:type="dxa"/>
      </w:tblCellMar>
    </w:tblPr>
  </w:style>
  <w:style w:type="table" w:styleId="afffffffffff0" w:customStyle="1">
    <w:basedOn w:val="TableNormal3"/>
    <w:tblPr>
      <w:tblStyleRowBandSize w:val="1"/>
      <w:tblStyleColBandSize w:val="1"/>
      <w:tblCellMar>
        <w:top w:w="41.0" w:type="dxa"/>
        <w:left w:w="827.0" w:type="dxa"/>
        <w:right w:w="115.0" w:type="dxa"/>
      </w:tblCellMar>
    </w:tblPr>
  </w:style>
  <w:style w:type="table" w:styleId="afffffffffff1" w:customStyle="1">
    <w:basedOn w:val="TableNormal3"/>
    <w:tblPr>
      <w:tblStyleRowBandSize w:val="1"/>
      <w:tblStyleColBandSize w:val="1"/>
      <w:tblCellMar>
        <w:top w:w="41.0" w:type="dxa"/>
        <w:left w:w="827.0" w:type="dxa"/>
        <w:right w:w="115.0" w:type="dxa"/>
      </w:tblCellMar>
    </w:tblPr>
  </w:style>
  <w:style w:type="table" w:styleId="afffffffffff2" w:customStyle="1">
    <w:basedOn w:val="TableNormal3"/>
    <w:tblPr>
      <w:tblStyleRowBandSize w:val="1"/>
      <w:tblStyleColBandSize w:val="1"/>
      <w:tblCellMar>
        <w:top w:w="41.0" w:type="dxa"/>
        <w:left w:w="827.0" w:type="dxa"/>
        <w:right w:w="115.0" w:type="dxa"/>
      </w:tblCellMar>
    </w:tblPr>
  </w:style>
  <w:style w:type="table" w:styleId="afffffffffff3" w:customStyle="1">
    <w:basedOn w:val="TableNormal3"/>
    <w:tblPr>
      <w:tblStyleRowBandSize w:val="1"/>
      <w:tblStyleColBandSize w:val="1"/>
      <w:tblCellMar>
        <w:top w:w="41.0" w:type="dxa"/>
        <w:left w:w="827.0" w:type="dxa"/>
        <w:right w:w="115.0" w:type="dxa"/>
      </w:tblCellMar>
    </w:tblPr>
  </w:style>
  <w:style w:type="table" w:styleId="afffffffffff4" w:customStyle="1">
    <w:basedOn w:val="TableNormal3"/>
    <w:tblPr>
      <w:tblStyleRowBandSize w:val="1"/>
      <w:tblStyleColBandSize w:val="1"/>
      <w:tblCellMar>
        <w:top w:w="41.0" w:type="dxa"/>
        <w:left w:w="827.0" w:type="dxa"/>
        <w:right w:w="115.0" w:type="dxa"/>
      </w:tblCellMar>
    </w:tblPr>
  </w:style>
  <w:style w:type="table" w:styleId="afffffffffff5" w:customStyle="1">
    <w:basedOn w:val="TableNormal3"/>
    <w:tblPr>
      <w:tblStyleRowBandSize w:val="1"/>
      <w:tblStyleColBandSize w:val="1"/>
      <w:tblCellMar>
        <w:top w:w="41.0" w:type="dxa"/>
        <w:left w:w="827.0" w:type="dxa"/>
        <w:right w:w="115.0" w:type="dxa"/>
      </w:tblCellMar>
    </w:tblPr>
  </w:style>
  <w:style w:type="character" w:styleId="UnresolvedMention" w:customStyle="1">
    <w:name w:val="Unresolved Mention"/>
    <w:basedOn w:val="Fuentedeprrafopredeter"/>
    <w:uiPriority w:val="99"/>
    <w:semiHidden w:val="1"/>
    <w:unhideWhenUsed w:val="1"/>
    <w:rsid w:val="006F712E"/>
    <w:rPr>
      <w:color w:val="605e5c"/>
      <w:shd w:color="auto" w:fill="e1dfdd" w:val="clear"/>
    </w:rPr>
  </w:style>
  <w:style w:type="character" w:styleId="Hipervnculovisitado">
    <w:name w:val="FollowedHyperlink"/>
    <w:basedOn w:val="Fuentedeprrafopredeter"/>
    <w:uiPriority w:val="99"/>
    <w:semiHidden w:val="1"/>
    <w:unhideWhenUsed w:val="1"/>
    <w:rsid w:val="006F712E"/>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 w:type="table" w:styleId="Table13">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dhem.org.mx/presenta-codhem-resultado-del-diagnostico-integral-sobre-ddhh-en-la-justicia-civica-municipal-del-edomex/" TargetMode="External"/><Relationship Id="rId10" Type="http://schemas.openxmlformats.org/officeDocument/2006/relationships/hyperlink" Target="https://diario-puntual.com.mx/presenta-codhem-micrositio-de-transparencia-proactiva/" TargetMode="External"/><Relationship Id="rId13" Type="http://schemas.openxmlformats.org/officeDocument/2006/relationships/hyperlink" Target="https://www.codhem.org.mx/transparencia-proactiva/" TargetMode="External"/><Relationship Id="rId12" Type="http://schemas.openxmlformats.org/officeDocument/2006/relationships/hyperlink" Target="https://forms.office.com/pages/responsepage.aspx?id=_xYjsTX3ekucf4l6OxS9iGEW2adc6DJLpxr98E1Vvh5UMzZZSzEyMzFaWkJJSks0MDE0QlUxMVZPNy4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sucede.com.mx/presenta-codhem-micrositio-de-transparencia-proactiva/" TargetMode="External"/><Relationship Id="rId15" Type="http://schemas.openxmlformats.org/officeDocument/2006/relationships/hyperlink" Target="https://codhemorgmx-my.sharepoint.com/:b:/g/personal/rafael_garcia_codhem_org_mx/EYiQ-_qxzBFOsmbLWxStBMgBq1F8NhQ67KJlQE1r9mN-ww?e=OadxBU" TargetMode="External"/><Relationship Id="rId14" Type="http://schemas.openxmlformats.org/officeDocument/2006/relationships/hyperlink" Target="https://forms.office.com/pages/responsepage.aspx?id=_xYjsTX3ekucf4l6OxS9iGEW2adc6DJLpxr98E1Vvh5UMzZZSzEyMzFaWkJJSks0MDE0QlUxMVZPNy4u" TargetMode="External"/><Relationship Id="rId17" Type="http://schemas.openxmlformats.org/officeDocument/2006/relationships/header" Target="header1.xml"/><Relationship Id="rId16" Type="http://schemas.openxmlformats.org/officeDocument/2006/relationships/hyperlink" Target="https://www.codhem.org.mx/transparencia-proactiv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codhem.org.mx/transparencia-proactiva/" TargetMode="External"/><Relationship Id="rId8" Type="http://schemas.openxmlformats.org/officeDocument/2006/relationships/hyperlink" Target="https://www.milenio.com/estados/micrositio-transparencia-proactiva-de-codh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VXmlKUYVWTSs9JDkPUP1bL7kg==">CgMxLjAyCWguMWZvYjl0ZTIJaC4zMGowemxsMg5oLmhiM2U5MzNsY2czMzgAciExOEFNM24tbGNNaEtkTjlhWUJzU0FxVjg0ajNBaVNSVEY=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2025-07-04T23:16:00Z</dcterms:created>
  <dc:creator>Jonathan Guillermo Munoz Acevedo</dc:creator>
</cp:coreProperties>
</file>